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778932">
      <w:pPr>
        <w:pStyle w:val="59"/>
        <w:spacing w:line="400" w:lineRule="exact"/>
        <w:ind w:firstLine="0" w:firstLineChars="0"/>
      </w:pPr>
    </w:p>
    <w:p w14:paraId="50C9033D"/>
    <w:p w14:paraId="01C97B8E">
      <w:pPr>
        <w:pStyle w:val="7"/>
        <w:spacing w:line="400" w:lineRule="exact"/>
        <w:ind w:firstLine="560"/>
        <w:rPr>
          <w:rFonts w:ascii="Times New Roman" w:hAnsi="Times New Roman"/>
          <w:sz w:val="20"/>
        </w:rPr>
      </w:pPr>
    </w:p>
    <w:p w14:paraId="396ABA09">
      <w:pPr>
        <w:spacing w:line="400" w:lineRule="exact"/>
        <w:rPr>
          <w:rFonts w:ascii="Times New Roman" w:hAnsi="Times New Roman"/>
        </w:rPr>
      </w:pPr>
    </w:p>
    <w:p w14:paraId="10A2D74E">
      <w:pPr>
        <w:spacing w:line="400" w:lineRule="exact"/>
        <w:rPr>
          <w:rFonts w:ascii="Times New Roman" w:hAnsi="Times New Roman"/>
          <w:u w:val="single"/>
        </w:rPr>
      </w:pPr>
    </w:p>
    <w:p w14:paraId="77D1FEEC">
      <w:pPr>
        <w:jc w:val="center"/>
        <w:rPr>
          <w:rFonts w:hint="eastAsia" w:ascii="仿宋" w:hAnsi="仿宋" w:eastAsia="仿宋" w:cs="仿宋"/>
          <w:sz w:val="44"/>
        </w:rPr>
      </w:pPr>
      <w:r>
        <w:rPr>
          <w:rFonts w:hint="eastAsia" w:ascii="仿宋" w:hAnsi="仿宋" w:eastAsia="仿宋" w:cs="仿宋"/>
          <w:sz w:val="44"/>
        </w:rPr>
        <w:t>濉溪县中医医院车辆维修项目</w:t>
      </w:r>
    </w:p>
    <w:p w14:paraId="63E16494">
      <w:pPr>
        <w:jc w:val="center"/>
        <w:rPr>
          <w:rFonts w:ascii="Times New Roman" w:hAnsi="Times New Roman" w:eastAsia="黑体"/>
          <w:sz w:val="28"/>
          <w:szCs w:val="28"/>
        </w:rPr>
      </w:pPr>
    </w:p>
    <w:p w14:paraId="0133939B">
      <w:pPr>
        <w:spacing w:line="400" w:lineRule="exact"/>
        <w:rPr>
          <w:rFonts w:ascii="Times New Roman" w:hAnsi="Times New Roman"/>
        </w:rPr>
      </w:pPr>
    </w:p>
    <w:p w14:paraId="59321AA7">
      <w:pPr>
        <w:spacing w:line="400" w:lineRule="exact"/>
        <w:jc w:val="right"/>
        <w:rPr>
          <w:rFonts w:ascii="Times New Roman" w:hAnsi="Times New Roman"/>
        </w:rPr>
      </w:pPr>
    </w:p>
    <w:p w14:paraId="69E0BEBD">
      <w:pPr>
        <w:rPr>
          <w:rFonts w:ascii="Times New Roman" w:hAnsi="Times New Roman"/>
          <w:sz w:val="28"/>
          <w:szCs w:val="28"/>
        </w:rPr>
      </w:pPr>
    </w:p>
    <w:p w14:paraId="699D1EC2">
      <w:pPr>
        <w:rPr>
          <w:rFonts w:ascii="Times New Roman" w:hAnsi="Times New Roman"/>
          <w:sz w:val="28"/>
        </w:rPr>
      </w:pPr>
    </w:p>
    <w:p w14:paraId="154B0324">
      <w:pPr>
        <w:spacing w:line="360" w:lineRule="auto"/>
        <w:jc w:val="center"/>
        <w:rPr>
          <w:rFonts w:hint="eastAsia" w:ascii="仿宋" w:hAnsi="仿宋" w:eastAsia="仿宋" w:cs="仿宋"/>
          <w:sz w:val="44"/>
        </w:rPr>
      </w:pPr>
      <w:r>
        <w:rPr>
          <w:rFonts w:hint="eastAsia" w:ascii="仿宋" w:hAnsi="仿宋" w:eastAsia="仿宋" w:cs="仿宋"/>
          <w:sz w:val="44"/>
        </w:rPr>
        <w:t>询比采购文件</w:t>
      </w:r>
    </w:p>
    <w:p w14:paraId="3F6363F6">
      <w:pPr>
        <w:spacing w:line="400" w:lineRule="exact"/>
        <w:rPr>
          <w:rFonts w:ascii="Times New Roman" w:hAnsi="Times New Roman"/>
        </w:rPr>
      </w:pPr>
    </w:p>
    <w:p w14:paraId="392298C5">
      <w:pPr>
        <w:spacing w:line="400" w:lineRule="exact"/>
        <w:rPr>
          <w:rFonts w:ascii="Times New Roman" w:hAnsi="Times New Roman"/>
        </w:rPr>
      </w:pPr>
    </w:p>
    <w:p w14:paraId="5E99EB63">
      <w:pPr>
        <w:spacing w:line="400" w:lineRule="exact"/>
        <w:rPr>
          <w:rFonts w:ascii="Times New Roman" w:hAnsi="Times New Roman"/>
        </w:rPr>
      </w:pPr>
    </w:p>
    <w:p w14:paraId="39CD9A5C">
      <w:pPr>
        <w:spacing w:line="400" w:lineRule="exact"/>
        <w:rPr>
          <w:rFonts w:ascii="Times New Roman" w:hAnsi="Times New Roman"/>
        </w:rPr>
      </w:pPr>
    </w:p>
    <w:p w14:paraId="3CB36CDD">
      <w:pPr>
        <w:spacing w:line="400" w:lineRule="exact"/>
        <w:rPr>
          <w:rFonts w:ascii="Times New Roman" w:hAnsi="Times New Roman"/>
        </w:rPr>
      </w:pPr>
    </w:p>
    <w:p w14:paraId="4EA5DB29">
      <w:pPr>
        <w:spacing w:line="400" w:lineRule="exact"/>
        <w:rPr>
          <w:rFonts w:ascii="Times New Roman" w:hAnsi="Times New Roman"/>
        </w:rPr>
      </w:pPr>
    </w:p>
    <w:p w14:paraId="76D6F84B">
      <w:pPr>
        <w:spacing w:line="400" w:lineRule="exact"/>
        <w:rPr>
          <w:rFonts w:ascii="Times New Roman" w:hAnsi="Times New Roman"/>
        </w:rPr>
      </w:pPr>
    </w:p>
    <w:p w14:paraId="2636C8A3">
      <w:pPr>
        <w:spacing w:line="400" w:lineRule="exact"/>
        <w:rPr>
          <w:rFonts w:ascii="Times New Roman" w:hAnsi="Times New Roman"/>
        </w:rPr>
      </w:pPr>
    </w:p>
    <w:p w14:paraId="27EE2EEC">
      <w:pPr>
        <w:spacing w:line="400" w:lineRule="exact"/>
        <w:rPr>
          <w:rFonts w:ascii="Times New Roman" w:hAnsi="Times New Roman"/>
        </w:rPr>
      </w:pPr>
    </w:p>
    <w:p w14:paraId="54BC7E0D">
      <w:pPr>
        <w:spacing w:line="400" w:lineRule="exact"/>
        <w:rPr>
          <w:rFonts w:ascii="Times New Roman" w:hAnsi="Times New Roman"/>
        </w:rPr>
      </w:pPr>
    </w:p>
    <w:p w14:paraId="7442A4EC">
      <w:pPr>
        <w:spacing w:line="360" w:lineRule="auto"/>
        <w:ind w:firstLine="1680" w:firstLineChars="600"/>
        <w:rPr>
          <w:rFonts w:hint="eastAsia" w:ascii="仿宋" w:hAnsi="仿宋" w:eastAsia="仿宋" w:cs="仿宋"/>
          <w:sz w:val="28"/>
        </w:rPr>
      </w:pPr>
      <w:r>
        <w:rPr>
          <w:rFonts w:hint="eastAsia" w:ascii="仿宋" w:hAnsi="仿宋" w:eastAsia="仿宋" w:cs="仿宋"/>
          <w:sz w:val="28"/>
        </w:rPr>
        <w:t>采   购   人：濉溪县中医医院</w:t>
      </w:r>
    </w:p>
    <w:p w14:paraId="76901B45">
      <w:pPr>
        <w:spacing w:line="360" w:lineRule="auto"/>
        <w:ind w:firstLine="1680" w:firstLineChars="600"/>
        <w:rPr>
          <w:rFonts w:hint="eastAsia" w:ascii="仿宋" w:hAnsi="仿宋" w:eastAsia="仿宋" w:cs="仿宋"/>
          <w:sz w:val="28"/>
        </w:rPr>
      </w:pPr>
      <w:r>
        <w:rPr>
          <w:rFonts w:hint="eastAsia" w:ascii="仿宋" w:hAnsi="仿宋" w:eastAsia="仿宋" w:cs="仿宋"/>
          <w:sz w:val="28"/>
        </w:rPr>
        <w:t>日        期：2025年1</w:t>
      </w:r>
      <w:r>
        <w:rPr>
          <w:rFonts w:hint="eastAsia" w:ascii="仿宋" w:hAnsi="仿宋" w:eastAsia="仿宋" w:cs="仿宋"/>
          <w:sz w:val="28"/>
          <w:lang w:val="en-US" w:eastAsia="zh-CN"/>
        </w:rPr>
        <w:t>1</w:t>
      </w:r>
      <w:r>
        <w:rPr>
          <w:rFonts w:hint="eastAsia" w:ascii="仿宋" w:hAnsi="仿宋" w:eastAsia="仿宋" w:cs="仿宋"/>
          <w:sz w:val="28"/>
        </w:rPr>
        <w:t>月</w:t>
      </w:r>
    </w:p>
    <w:p w14:paraId="6CBF5AD0">
      <w:pPr>
        <w:jc w:val="center"/>
        <w:rPr>
          <w:rFonts w:ascii="Times New Roman" w:hAnsi="Times New Roman" w:eastAsia="黑体"/>
          <w:sz w:val="28"/>
        </w:rPr>
      </w:pPr>
    </w:p>
    <w:p w14:paraId="1D0B729F">
      <w:pPr>
        <w:jc w:val="center"/>
        <w:rPr>
          <w:rFonts w:ascii="Times New Roman" w:hAnsi="Times New Roman"/>
        </w:rPr>
      </w:pPr>
      <w:r>
        <w:rPr>
          <w:rFonts w:ascii="Times New Roman" w:hAnsi="Times New Roman"/>
        </w:rPr>
        <w:br w:type="page"/>
      </w:r>
    </w:p>
    <w:p w14:paraId="3531DDB9">
      <w:pPr>
        <w:jc w:val="center"/>
        <w:rPr>
          <w:rFonts w:hint="eastAsia" w:ascii="仿宋" w:hAnsi="仿宋" w:eastAsia="仿宋" w:cs="仿宋"/>
          <w:b/>
          <w:bCs/>
          <w:sz w:val="32"/>
        </w:rPr>
      </w:pPr>
      <w:r>
        <w:rPr>
          <w:rFonts w:hint="eastAsia" w:ascii="仿宋" w:hAnsi="仿宋" w:eastAsia="仿宋" w:cs="仿宋"/>
          <w:b/>
          <w:bCs/>
          <w:sz w:val="32"/>
        </w:rPr>
        <w:t>目  录</w:t>
      </w:r>
    </w:p>
    <w:p w14:paraId="37003BDA">
      <w:pPr>
        <w:jc w:val="center"/>
        <w:rPr>
          <w:rFonts w:ascii="Times New Roman" w:hAnsi="Times New Roman"/>
        </w:rPr>
      </w:pPr>
    </w:p>
    <w:p w14:paraId="665D4B89">
      <w:pPr>
        <w:pStyle w:val="22"/>
        <w:tabs>
          <w:tab w:val="right" w:leader="dot" w:pos="8640"/>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sz w:val="28"/>
          <w:szCs w:val="28"/>
        </w:rPr>
        <w:fldChar w:fldCharType="separate"/>
      </w:r>
      <w:r>
        <w:fldChar w:fldCharType="begin"/>
      </w:r>
      <w:r>
        <w:instrText xml:space="preserve"> HYPERLINK \l "_Toc31539" </w:instrText>
      </w:r>
      <w:r>
        <w:fldChar w:fldCharType="separate"/>
      </w:r>
      <w:r>
        <w:rPr>
          <w:rFonts w:hint="eastAsia" w:ascii="仿宋" w:hAnsi="仿宋" w:eastAsia="仿宋" w:cs="仿宋"/>
          <w:sz w:val="28"/>
          <w:szCs w:val="28"/>
        </w:rPr>
        <w:t>第一章  询比采购公告</w:t>
      </w:r>
      <w:r>
        <w:rPr>
          <w:sz w:val="28"/>
          <w:szCs w:val="28"/>
        </w:rPr>
        <w:tab/>
      </w:r>
      <w:r>
        <w:rPr>
          <w:sz w:val="28"/>
          <w:szCs w:val="28"/>
        </w:rPr>
        <w:fldChar w:fldCharType="begin"/>
      </w:r>
      <w:r>
        <w:rPr>
          <w:sz w:val="28"/>
          <w:szCs w:val="28"/>
        </w:rPr>
        <w:instrText xml:space="preserve"> PAGEREF _Toc31539 \h </w:instrText>
      </w:r>
      <w:r>
        <w:rPr>
          <w:sz w:val="28"/>
          <w:szCs w:val="28"/>
        </w:rPr>
        <w:fldChar w:fldCharType="separate"/>
      </w:r>
      <w:r>
        <w:rPr>
          <w:sz w:val="28"/>
          <w:szCs w:val="28"/>
        </w:rPr>
        <w:t>3</w:t>
      </w:r>
      <w:r>
        <w:rPr>
          <w:sz w:val="28"/>
          <w:szCs w:val="28"/>
        </w:rPr>
        <w:fldChar w:fldCharType="end"/>
      </w:r>
      <w:r>
        <w:rPr>
          <w:sz w:val="28"/>
          <w:szCs w:val="28"/>
        </w:rPr>
        <w:fldChar w:fldCharType="end"/>
      </w:r>
    </w:p>
    <w:p w14:paraId="3A7DA7D4">
      <w:pPr>
        <w:pStyle w:val="22"/>
        <w:tabs>
          <w:tab w:val="right" w:leader="dot" w:pos="8640"/>
        </w:tabs>
        <w:rPr>
          <w:sz w:val="28"/>
          <w:szCs w:val="28"/>
        </w:rPr>
      </w:pPr>
      <w:r>
        <w:fldChar w:fldCharType="begin"/>
      </w:r>
      <w:r>
        <w:instrText xml:space="preserve"> HYPERLINK \l "_Toc5836" </w:instrText>
      </w:r>
      <w:r>
        <w:fldChar w:fldCharType="separate"/>
      </w:r>
      <w:r>
        <w:rPr>
          <w:rFonts w:hint="eastAsia" w:ascii="仿宋" w:hAnsi="仿宋" w:eastAsia="仿宋" w:cs="仿宋"/>
          <w:sz w:val="28"/>
          <w:szCs w:val="28"/>
        </w:rPr>
        <w:t>第二章  供应商须知</w:t>
      </w:r>
      <w:r>
        <w:rPr>
          <w:sz w:val="28"/>
          <w:szCs w:val="28"/>
        </w:rPr>
        <w:tab/>
      </w:r>
      <w:r>
        <w:rPr>
          <w:sz w:val="28"/>
          <w:szCs w:val="28"/>
        </w:rPr>
        <w:fldChar w:fldCharType="begin"/>
      </w:r>
      <w:r>
        <w:rPr>
          <w:sz w:val="28"/>
          <w:szCs w:val="28"/>
        </w:rPr>
        <w:instrText xml:space="preserve"> PAGEREF _Toc5836 \h </w:instrText>
      </w:r>
      <w:r>
        <w:rPr>
          <w:sz w:val="28"/>
          <w:szCs w:val="28"/>
        </w:rPr>
        <w:fldChar w:fldCharType="separate"/>
      </w:r>
      <w:r>
        <w:rPr>
          <w:sz w:val="28"/>
          <w:szCs w:val="28"/>
        </w:rPr>
        <w:t>5</w:t>
      </w:r>
      <w:r>
        <w:rPr>
          <w:sz w:val="28"/>
          <w:szCs w:val="28"/>
        </w:rPr>
        <w:fldChar w:fldCharType="end"/>
      </w:r>
      <w:r>
        <w:rPr>
          <w:sz w:val="28"/>
          <w:szCs w:val="28"/>
        </w:rPr>
        <w:fldChar w:fldCharType="end"/>
      </w:r>
    </w:p>
    <w:p w14:paraId="67993429">
      <w:pPr>
        <w:pStyle w:val="22"/>
        <w:tabs>
          <w:tab w:val="right" w:leader="dot" w:pos="8640"/>
        </w:tabs>
        <w:rPr>
          <w:sz w:val="28"/>
          <w:szCs w:val="28"/>
        </w:rPr>
      </w:pPr>
      <w:r>
        <w:fldChar w:fldCharType="begin"/>
      </w:r>
      <w:r>
        <w:instrText xml:space="preserve"> HYPERLINK \l "_Toc23370" </w:instrText>
      </w:r>
      <w:r>
        <w:fldChar w:fldCharType="separate"/>
      </w:r>
      <w:r>
        <w:rPr>
          <w:rFonts w:hint="eastAsia" w:ascii="仿宋" w:hAnsi="仿宋" w:eastAsia="仿宋" w:cs="仿宋"/>
          <w:sz w:val="28"/>
          <w:szCs w:val="28"/>
        </w:rPr>
        <w:t>第三章  评审办法（综合评分法）</w:t>
      </w:r>
      <w:r>
        <w:rPr>
          <w:sz w:val="28"/>
          <w:szCs w:val="28"/>
        </w:rPr>
        <w:tab/>
      </w:r>
      <w:r>
        <w:rPr>
          <w:sz w:val="28"/>
          <w:szCs w:val="28"/>
        </w:rPr>
        <w:fldChar w:fldCharType="begin"/>
      </w:r>
      <w:r>
        <w:rPr>
          <w:sz w:val="28"/>
          <w:szCs w:val="28"/>
        </w:rPr>
        <w:instrText xml:space="preserve"> PAGEREF _Toc23370 \h </w:instrText>
      </w:r>
      <w:r>
        <w:rPr>
          <w:sz w:val="28"/>
          <w:szCs w:val="28"/>
        </w:rPr>
        <w:fldChar w:fldCharType="separate"/>
      </w:r>
      <w:r>
        <w:rPr>
          <w:sz w:val="28"/>
          <w:szCs w:val="28"/>
        </w:rPr>
        <w:t>26</w:t>
      </w:r>
      <w:r>
        <w:rPr>
          <w:sz w:val="28"/>
          <w:szCs w:val="28"/>
        </w:rPr>
        <w:fldChar w:fldCharType="end"/>
      </w:r>
      <w:r>
        <w:rPr>
          <w:sz w:val="28"/>
          <w:szCs w:val="28"/>
        </w:rPr>
        <w:fldChar w:fldCharType="end"/>
      </w:r>
    </w:p>
    <w:p w14:paraId="77DD36E2">
      <w:pPr>
        <w:pStyle w:val="22"/>
        <w:tabs>
          <w:tab w:val="right" w:leader="dot" w:pos="8640"/>
        </w:tabs>
        <w:rPr>
          <w:sz w:val="28"/>
          <w:szCs w:val="28"/>
        </w:rPr>
      </w:pPr>
      <w:r>
        <w:fldChar w:fldCharType="begin"/>
      </w:r>
      <w:r>
        <w:instrText xml:space="preserve"> HYPERLINK \l "_Toc8245" </w:instrText>
      </w:r>
      <w:r>
        <w:fldChar w:fldCharType="separate"/>
      </w:r>
      <w:r>
        <w:rPr>
          <w:rFonts w:hint="eastAsia" w:ascii="仿宋" w:hAnsi="仿宋" w:eastAsia="仿宋" w:cs="仿宋"/>
          <w:sz w:val="28"/>
          <w:szCs w:val="28"/>
        </w:rPr>
        <w:t>第四章  合同条款及格式</w:t>
      </w:r>
      <w:r>
        <w:rPr>
          <w:sz w:val="28"/>
          <w:szCs w:val="28"/>
        </w:rPr>
        <w:tab/>
      </w:r>
      <w:r>
        <w:rPr>
          <w:sz w:val="28"/>
          <w:szCs w:val="28"/>
        </w:rPr>
        <w:fldChar w:fldCharType="begin"/>
      </w:r>
      <w:r>
        <w:rPr>
          <w:sz w:val="28"/>
          <w:szCs w:val="28"/>
        </w:rPr>
        <w:instrText xml:space="preserve"> PAGEREF _Toc8245 \h </w:instrText>
      </w:r>
      <w:r>
        <w:rPr>
          <w:sz w:val="28"/>
          <w:szCs w:val="28"/>
        </w:rPr>
        <w:fldChar w:fldCharType="separate"/>
      </w:r>
      <w:r>
        <w:rPr>
          <w:sz w:val="28"/>
          <w:szCs w:val="28"/>
        </w:rPr>
        <w:t>35</w:t>
      </w:r>
      <w:r>
        <w:rPr>
          <w:sz w:val="28"/>
          <w:szCs w:val="28"/>
        </w:rPr>
        <w:fldChar w:fldCharType="end"/>
      </w:r>
      <w:r>
        <w:rPr>
          <w:sz w:val="28"/>
          <w:szCs w:val="28"/>
        </w:rPr>
        <w:fldChar w:fldCharType="end"/>
      </w:r>
    </w:p>
    <w:p w14:paraId="6CD29603">
      <w:pPr>
        <w:pStyle w:val="22"/>
        <w:tabs>
          <w:tab w:val="right" w:leader="dot" w:pos="8640"/>
        </w:tabs>
        <w:rPr>
          <w:sz w:val="28"/>
          <w:szCs w:val="28"/>
        </w:rPr>
      </w:pPr>
      <w:r>
        <w:fldChar w:fldCharType="begin"/>
      </w:r>
      <w:r>
        <w:instrText xml:space="preserve"> HYPERLINK \l "_Toc28554" </w:instrText>
      </w:r>
      <w:r>
        <w:fldChar w:fldCharType="separate"/>
      </w:r>
      <w:r>
        <w:rPr>
          <w:rFonts w:hint="eastAsia" w:ascii="仿宋" w:hAnsi="仿宋" w:eastAsia="仿宋" w:cs="仿宋"/>
          <w:sz w:val="28"/>
          <w:szCs w:val="28"/>
        </w:rPr>
        <w:t>第五章  采购需求</w:t>
      </w:r>
      <w:r>
        <w:rPr>
          <w:sz w:val="28"/>
          <w:szCs w:val="28"/>
        </w:rPr>
        <w:tab/>
      </w:r>
      <w:r>
        <w:rPr>
          <w:sz w:val="28"/>
          <w:szCs w:val="28"/>
        </w:rPr>
        <w:fldChar w:fldCharType="begin"/>
      </w:r>
      <w:r>
        <w:rPr>
          <w:sz w:val="28"/>
          <w:szCs w:val="28"/>
        </w:rPr>
        <w:instrText xml:space="preserve"> PAGEREF _Toc28554 \h </w:instrText>
      </w:r>
      <w:r>
        <w:rPr>
          <w:sz w:val="28"/>
          <w:szCs w:val="28"/>
        </w:rPr>
        <w:fldChar w:fldCharType="separate"/>
      </w:r>
      <w:r>
        <w:rPr>
          <w:sz w:val="28"/>
          <w:szCs w:val="28"/>
        </w:rPr>
        <w:t>43</w:t>
      </w:r>
      <w:r>
        <w:rPr>
          <w:sz w:val="28"/>
          <w:szCs w:val="28"/>
        </w:rPr>
        <w:fldChar w:fldCharType="end"/>
      </w:r>
      <w:r>
        <w:rPr>
          <w:sz w:val="28"/>
          <w:szCs w:val="28"/>
        </w:rPr>
        <w:fldChar w:fldCharType="end"/>
      </w:r>
    </w:p>
    <w:p w14:paraId="36F0A0D7">
      <w:pPr>
        <w:pStyle w:val="22"/>
        <w:tabs>
          <w:tab w:val="right" w:leader="dot" w:pos="8640"/>
        </w:tabs>
        <w:rPr>
          <w:sz w:val="28"/>
          <w:szCs w:val="28"/>
        </w:rPr>
      </w:pPr>
      <w:r>
        <w:fldChar w:fldCharType="begin"/>
      </w:r>
      <w:r>
        <w:instrText xml:space="preserve"> HYPERLINK \l "_Toc18429" </w:instrText>
      </w:r>
      <w:r>
        <w:fldChar w:fldCharType="separate"/>
      </w:r>
      <w:r>
        <w:rPr>
          <w:rFonts w:hint="eastAsia" w:ascii="仿宋" w:hAnsi="仿宋" w:eastAsia="仿宋" w:cs="仿宋"/>
          <w:sz w:val="28"/>
          <w:szCs w:val="28"/>
        </w:rPr>
        <w:t>第六章  响应文件格式</w:t>
      </w:r>
      <w:r>
        <w:rPr>
          <w:sz w:val="28"/>
          <w:szCs w:val="28"/>
        </w:rPr>
        <w:tab/>
      </w:r>
      <w:r>
        <w:rPr>
          <w:sz w:val="28"/>
          <w:szCs w:val="28"/>
        </w:rPr>
        <w:fldChar w:fldCharType="begin"/>
      </w:r>
      <w:r>
        <w:rPr>
          <w:sz w:val="28"/>
          <w:szCs w:val="28"/>
        </w:rPr>
        <w:instrText xml:space="preserve"> PAGEREF _Toc18429 \h </w:instrText>
      </w:r>
      <w:r>
        <w:rPr>
          <w:sz w:val="28"/>
          <w:szCs w:val="28"/>
        </w:rPr>
        <w:fldChar w:fldCharType="separate"/>
      </w:r>
      <w:r>
        <w:rPr>
          <w:sz w:val="28"/>
          <w:szCs w:val="28"/>
        </w:rPr>
        <w:t>45</w:t>
      </w:r>
      <w:r>
        <w:rPr>
          <w:sz w:val="28"/>
          <w:szCs w:val="28"/>
        </w:rPr>
        <w:fldChar w:fldCharType="end"/>
      </w:r>
      <w:r>
        <w:rPr>
          <w:sz w:val="28"/>
          <w:szCs w:val="28"/>
        </w:rPr>
        <w:fldChar w:fldCharType="end"/>
      </w:r>
    </w:p>
    <w:p w14:paraId="36D8A24F">
      <w:pPr>
        <w:pStyle w:val="28"/>
        <w:tabs>
          <w:tab w:val="right" w:leader="dot" w:pos="8640"/>
        </w:tabs>
        <w:rPr>
          <w:sz w:val="28"/>
          <w:szCs w:val="28"/>
        </w:rPr>
      </w:pPr>
    </w:p>
    <w:p w14:paraId="65B99E11">
      <w:pPr>
        <w:rPr>
          <w:rFonts w:hint="eastAsia" w:ascii="仿宋" w:hAnsi="仿宋" w:eastAsia="仿宋" w:cs="仿宋"/>
          <w:sz w:val="24"/>
          <w:szCs w:val="24"/>
        </w:rPr>
      </w:pPr>
      <w:r>
        <w:rPr>
          <w:rFonts w:hint="eastAsia" w:ascii="仿宋" w:hAnsi="仿宋" w:eastAsia="仿宋" w:cs="仿宋"/>
          <w:sz w:val="28"/>
          <w:szCs w:val="28"/>
        </w:rPr>
        <w:fldChar w:fldCharType="end"/>
      </w:r>
    </w:p>
    <w:p w14:paraId="1DCAC3A1">
      <w:pPr>
        <w:pStyle w:val="2"/>
        <w:keepNext w:val="0"/>
        <w:keepLines w:val="0"/>
        <w:pageBreakBefore/>
        <w:spacing w:line="240" w:lineRule="auto"/>
        <w:jc w:val="center"/>
        <w:rPr>
          <w:rFonts w:hint="eastAsia" w:ascii="仿宋" w:hAnsi="仿宋" w:eastAsia="仿宋" w:cs="仿宋"/>
        </w:rPr>
      </w:pPr>
      <w:bookmarkStart w:id="0" w:name="_Toc501460631"/>
      <w:bookmarkStart w:id="1" w:name="_Toc31539"/>
      <w:bookmarkStart w:id="2" w:name="_Toc144974479"/>
      <w:bookmarkStart w:id="3" w:name="_Toc152042287"/>
      <w:bookmarkStart w:id="4" w:name="_Toc152045511"/>
      <w:r>
        <w:rPr>
          <w:rFonts w:hint="eastAsia" w:ascii="仿宋" w:hAnsi="仿宋" w:eastAsia="仿宋" w:cs="仿宋"/>
        </w:rPr>
        <w:t>第一章  询比采购公告</w:t>
      </w:r>
      <w:bookmarkEnd w:id="0"/>
      <w:bookmarkEnd w:id="1"/>
    </w:p>
    <w:p w14:paraId="02774104">
      <w:pPr>
        <w:spacing w:line="440" w:lineRule="exact"/>
        <w:jc w:val="center"/>
        <w:rPr>
          <w:rFonts w:hint="eastAsia" w:ascii="仿宋" w:hAnsi="仿宋" w:eastAsia="仿宋" w:cs="仿宋"/>
          <w:sz w:val="28"/>
          <w:szCs w:val="28"/>
        </w:rPr>
      </w:pPr>
      <w:bookmarkStart w:id="5" w:name="_Toc501460633"/>
      <w:r>
        <w:rPr>
          <w:rFonts w:hint="eastAsia" w:ascii="仿宋" w:hAnsi="仿宋" w:eastAsia="仿宋" w:cs="仿宋"/>
          <w:sz w:val="28"/>
          <w:szCs w:val="28"/>
        </w:rPr>
        <w:t>濉溪县中医医院车辆维修项目询比采购公告</w:t>
      </w:r>
    </w:p>
    <w:bookmarkEnd w:id="5"/>
    <w:p w14:paraId="5DFAD491">
      <w:pPr>
        <w:pStyle w:val="3"/>
        <w:spacing w:line="240" w:lineRule="auto"/>
        <w:rPr>
          <w:rFonts w:hint="eastAsia" w:ascii="仿宋" w:hAnsi="仿宋" w:eastAsia="仿宋" w:cs="仿宋"/>
        </w:rPr>
      </w:pPr>
      <w:bookmarkStart w:id="6" w:name="_Toc23484"/>
      <w:bookmarkStart w:id="7" w:name="_Toc23584"/>
      <w:bookmarkStart w:id="8" w:name="_Toc501460632"/>
      <w:bookmarkStart w:id="9" w:name="_Toc196323373"/>
      <w:bookmarkStart w:id="10" w:name="_Toc501460653"/>
      <w:bookmarkStart w:id="11" w:name="_Toc8628"/>
      <w:bookmarkStart w:id="12" w:name="_Toc501460634"/>
      <w:r>
        <w:rPr>
          <w:rFonts w:hint="eastAsia" w:ascii="仿宋" w:hAnsi="仿宋" w:eastAsia="仿宋" w:cs="仿宋"/>
        </w:rPr>
        <w:t>1. 采购项目简介</w:t>
      </w:r>
      <w:bookmarkEnd w:id="6"/>
      <w:bookmarkEnd w:id="7"/>
      <w:bookmarkEnd w:id="8"/>
      <w:bookmarkEnd w:id="9"/>
    </w:p>
    <w:p w14:paraId="25DE3BB1">
      <w:pPr>
        <w:spacing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1.1 采购项目名称：濉溪县中医医院车辆维修项目</w:t>
      </w:r>
    </w:p>
    <w:p w14:paraId="46F9C8B5">
      <w:pPr>
        <w:spacing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 采购人：濉溪县中医医院</w:t>
      </w:r>
    </w:p>
    <w:p w14:paraId="1EE5A5FB">
      <w:pPr>
        <w:spacing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1.3 采购代理机构：/</w:t>
      </w:r>
    </w:p>
    <w:p w14:paraId="2B3A64FE">
      <w:pPr>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1.4 采购项目资金落实情况：自筹资金，已落实</w:t>
      </w:r>
    </w:p>
    <w:p w14:paraId="064DC0E0">
      <w:pPr>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1.5 采购项目编号：/</w:t>
      </w:r>
    </w:p>
    <w:p w14:paraId="154645E3">
      <w:pPr>
        <w:spacing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1.6 采购包划分：/</w:t>
      </w:r>
    </w:p>
    <w:p w14:paraId="5149CB38">
      <w:pPr>
        <w:pStyle w:val="3"/>
        <w:spacing w:line="240" w:lineRule="auto"/>
        <w:rPr>
          <w:rFonts w:hint="eastAsia" w:ascii="仿宋" w:hAnsi="仿宋" w:eastAsia="仿宋" w:cs="仿宋"/>
        </w:rPr>
      </w:pPr>
      <w:bookmarkStart w:id="13" w:name="_Toc7002"/>
      <w:bookmarkStart w:id="14" w:name="_Toc196323374"/>
      <w:r>
        <w:rPr>
          <w:rFonts w:hint="eastAsia" w:ascii="仿宋" w:hAnsi="仿宋" w:eastAsia="仿宋" w:cs="仿宋"/>
        </w:rPr>
        <w:t>2. 采购范围及相关要求</w:t>
      </w:r>
      <w:bookmarkEnd w:id="10"/>
      <w:bookmarkEnd w:id="11"/>
      <w:bookmarkEnd w:id="13"/>
      <w:bookmarkEnd w:id="14"/>
    </w:p>
    <w:p w14:paraId="181729F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 采购范围：濉溪县中医医院车辆维修服务，具体详见采购需求章节。</w:t>
      </w:r>
    </w:p>
    <w:bookmarkEnd w:id="12"/>
    <w:p w14:paraId="0B479286">
      <w:pPr>
        <w:spacing w:line="400" w:lineRule="exact"/>
        <w:ind w:firstLine="480" w:firstLineChars="200"/>
        <w:rPr>
          <w:rFonts w:hint="eastAsia" w:ascii="仿宋" w:hAnsi="仿宋" w:eastAsia="仿宋" w:cs="仿宋"/>
          <w:sz w:val="24"/>
          <w:szCs w:val="24"/>
        </w:rPr>
      </w:pPr>
      <w:bookmarkStart w:id="15" w:name="_Toc7114"/>
      <w:bookmarkStart w:id="16" w:name="_Toc501460635"/>
      <w:r>
        <w:rPr>
          <w:rFonts w:hint="eastAsia" w:ascii="仿宋" w:hAnsi="仿宋" w:eastAsia="仿宋" w:cs="仿宋"/>
          <w:sz w:val="24"/>
          <w:szCs w:val="24"/>
        </w:rPr>
        <w:t>2.2 服务期限：自合同签订之日起2年。</w:t>
      </w:r>
    </w:p>
    <w:p w14:paraId="0C65C01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 服务地点：安徽省濉溪县，采购人指定地点。</w:t>
      </w:r>
    </w:p>
    <w:p w14:paraId="75B95C0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 合同估算价：4万元/年。</w:t>
      </w:r>
    </w:p>
    <w:p w14:paraId="644C8ED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2.5其他：/。</w:t>
      </w:r>
    </w:p>
    <w:p w14:paraId="5BF90851">
      <w:pPr>
        <w:pStyle w:val="3"/>
        <w:spacing w:line="240" w:lineRule="auto"/>
        <w:rPr>
          <w:rFonts w:hint="eastAsia" w:ascii="仿宋" w:hAnsi="仿宋" w:eastAsia="仿宋" w:cs="仿宋"/>
        </w:rPr>
      </w:pPr>
      <w:bookmarkStart w:id="17" w:name="_Toc14936"/>
      <w:bookmarkStart w:id="18" w:name="_Toc196323375"/>
      <w:r>
        <w:rPr>
          <w:rFonts w:hint="eastAsia" w:ascii="仿宋" w:hAnsi="仿宋" w:eastAsia="仿宋" w:cs="仿宋"/>
        </w:rPr>
        <w:t>3. 供应商资格要求</w:t>
      </w:r>
      <w:bookmarkEnd w:id="15"/>
      <w:bookmarkEnd w:id="17"/>
      <w:bookmarkEnd w:id="18"/>
    </w:p>
    <w:p w14:paraId="5021E33E">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3.1供应商应依法设立且满足如下要求：</w:t>
      </w:r>
    </w:p>
    <w:p w14:paraId="41ED7416">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3.1.1本次采购要求供应商提供营业执照复印件或扫描件。</w:t>
      </w:r>
    </w:p>
    <w:p w14:paraId="23B1AD0C">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3.1.2供应商的企业资质、资格：/。</w:t>
      </w:r>
    </w:p>
    <w:p w14:paraId="2E4C2772">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3.1.3 业绩要求：/。</w:t>
      </w:r>
    </w:p>
    <w:p w14:paraId="3183946F">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3.1.4其他要求：</w:t>
      </w:r>
      <w:r>
        <w:rPr>
          <w:rFonts w:hint="eastAsia" w:ascii="Times New Roman" w:hAnsi="Times New Roman" w:eastAsia="仿宋"/>
          <w:sz w:val="24"/>
          <w:szCs w:val="24"/>
          <w:highlight w:val="none"/>
        </w:rPr>
        <w:t>/。</w:t>
      </w:r>
    </w:p>
    <w:p w14:paraId="11BD2580">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 供应商不得存在第二章供应商须知第1.2.2项、第1.2.3项规定的情形。</w:t>
      </w:r>
    </w:p>
    <w:p w14:paraId="576C0A07">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 本次采购不接受联合体。</w:t>
      </w:r>
    </w:p>
    <w:bookmarkEnd w:id="16"/>
    <w:p w14:paraId="036F47F9">
      <w:pPr>
        <w:pStyle w:val="3"/>
        <w:spacing w:line="240" w:lineRule="auto"/>
        <w:rPr>
          <w:rFonts w:hint="eastAsia" w:ascii="仿宋" w:hAnsi="仿宋" w:eastAsia="仿宋" w:cs="仿宋"/>
          <w:highlight w:val="none"/>
        </w:rPr>
      </w:pPr>
      <w:bookmarkStart w:id="19" w:name="_Toc196323376"/>
      <w:bookmarkStart w:id="20" w:name="_Toc2663"/>
      <w:bookmarkStart w:id="21" w:name="_Toc32583"/>
      <w:r>
        <w:rPr>
          <w:rFonts w:hint="eastAsia" w:ascii="仿宋" w:hAnsi="仿宋" w:eastAsia="仿宋" w:cs="仿宋"/>
          <w:highlight w:val="none"/>
        </w:rPr>
        <w:t>4. 采购文件的获取</w:t>
      </w:r>
      <w:bookmarkEnd w:id="19"/>
      <w:bookmarkEnd w:id="20"/>
      <w:bookmarkEnd w:id="21"/>
    </w:p>
    <w:p w14:paraId="55A61B66">
      <w:pPr>
        <w:tabs>
          <w:tab w:val="left" w:pos="360"/>
        </w:tabs>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4.1获取时间：2025年1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日至2025年1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 xml:space="preserve"> 日</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 xml:space="preserve"> 时 分（北京时间）</w:t>
      </w:r>
    </w:p>
    <w:p w14:paraId="1AB3BD06">
      <w:pPr>
        <w:tabs>
          <w:tab w:val="left" w:pos="360"/>
        </w:tabs>
        <w:spacing w:line="400" w:lineRule="exact"/>
        <w:ind w:firstLine="480" w:firstLineChars="200"/>
        <w:jc w:val="left"/>
        <w:rPr>
          <w:rFonts w:hint="eastAsia" w:ascii="仿宋" w:hAnsi="仿宋" w:eastAsia="仿宋" w:cs="仿宋"/>
          <w:bCs/>
          <w:snapToGrid w:val="0"/>
          <w:kern w:val="0"/>
          <w:sz w:val="24"/>
          <w:szCs w:val="24"/>
          <w:highlight w:val="none"/>
        </w:rPr>
      </w:pPr>
      <w:r>
        <w:rPr>
          <w:rFonts w:hint="eastAsia" w:ascii="仿宋" w:hAnsi="仿宋" w:eastAsia="仿宋" w:cs="仿宋"/>
          <w:sz w:val="24"/>
          <w:szCs w:val="24"/>
          <w:highlight w:val="none"/>
        </w:rPr>
        <w:t>4.2获取方式：</w:t>
      </w:r>
      <w:r>
        <w:rPr>
          <w:rFonts w:hint="eastAsia" w:ascii="仿宋" w:hAnsi="仿宋" w:eastAsia="仿宋" w:cs="仿宋"/>
          <w:bCs/>
          <w:snapToGrid w:val="0"/>
          <w:kern w:val="0"/>
          <w:sz w:val="24"/>
          <w:szCs w:val="24"/>
          <w:highlight w:val="none"/>
        </w:rPr>
        <w:t>濉溪县中医医院官网（</w:t>
      </w:r>
      <w:r>
        <w:rPr>
          <w:rFonts w:ascii="仿宋" w:hAnsi="仿宋" w:eastAsia="仿宋" w:cs="仿宋"/>
          <w:bCs/>
          <w:snapToGrid w:val="0"/>
          <w:kern w:val="0"/>
          <w:sz w:val="24"/>
          <w:szCs w:val="24"/>
          <w:highlight w:val="none"/>
        </w:rPr>
        <w:t>https://sxxzyyy.com/</w:t>
      </w:r>
      <w:r>
        <w:rPr>
          <w:rFonts w:hint="eastAsia" w:ascii="仿宋" w:hAnsi="仿宋" w:eastAsia="仿宋" w:cs="仿宋"/>
          <w:bCs/>
          <w:snapToGrid w:val="0"/>
          <w:kern w:val="0"/>
          <w:sz w:val="24"/>
          <w:szCs w:val="24"/>
          <w:highlight w:val="none"/>
        </w:rPr>
        <w:t>）。</w:t>
      </w:r>
    </w:p>
    <w:p w14:paraId="1B95C5DA">
      <w:pPr>
        <w:pStyle w:val="3"/>
        <w:spacing w:line="240" w:lineRule="auto"/>
        <w:rPr>
          <w:rFonts w:hint="eastAsia" w:ascii="仿宋" w:hAnsi="仿宋" w:eastAsia="仿宋" w:cs="仿宋"/>
          <w:highlight w:val="none"/>
        </w:rPr>
      </w:pPr>
      <w:bookmarkStart w:id="22" w:name="_Toc25330"/>
      <w:bookmarkStart w:id="23" w:name="_Toc501460636"/>
      <w:bookmarkStart w:id="24" w:name="_Toc196323377"/>
      <w:r>
        <w:rPr>
          <w:rFonts w:hint="eastAsia" w:ascii="仿宋" w:hAnsi="仿宋" w:eastAsia="仿宋" w:cs="仿宋"/>
          <w:highlight w:val="none"/>
        </w:rPr>
        <w:t>5. 响应文件的递交</w:t>
      </w:r>
      <w:bookmarkEnd w:id="22"/>
      <w:bookmarkEnd w:id="23"/>
      <w:bookmarkEnd w:id="24"/>
    </w:p>
    <w:p w14:paraId="3BAEA298">
      <w:pPr>
        <w:tabs>
          <w:tab w:val="left" w:pos="360"/>
        </w:tabs>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5.1响应文件递交截止时间（响应截止时间，下同）：2025年1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日15时30分（北京时间）</w:t>
      </w:r>
    </w:p>
    <w:p w14:paraId="10A75BD9">
      <w:pPr>
        <w:tabs>
          <w:tab w:val="left" w:pos="360"/>
        </w:tabs>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5.2响应文件递交地点：</w:t>
      </w:r>
    </w:p>
    <w:p w14:paraId="71B2862D">
      <w:pPr>
        <w:tabs>
          <w:tab w:val="left" w:pos="360"/>
        </w:tabs>
        <w:spacing w:line="400" w:lineRule="exact"/>
        <w:ind w:firstLine="480" w:firstLineChars="200"/>
        <w:rPr>
          <w:rFonts w:hint="eastAsia" w:ascii="仿宋" w:hAnsi="仿宋" w:eastAsia="仿宋" w:cs="仿宋"/>
          <w:sz w:val="24"/>
          <w:szCs w:val="24"/>
          <w:highlight w:val="none"/>
        </w:rPr>
      </w:pPr>
      <w:r>
        <w:rPr>
          <w:rFonts w:ascii="宋体" w:hAnsi="宋体" w:eastAsia="仿宋"/>
          <w:bCs/>
          <w:sz w:val="24"/>
          <w:highlight w:val="none"/>
        </w:rPr>
        <w:sym w:font="Wingdings" w:char="F0FE"/>
      </w:r>
      <w:r>
        <w:rPr>
          <w:rFonts w:hint="eastAsia" w:ascii="仿宋" w:hAnsi="仿宋" w:eastAsia="仿宋" w:cs="仿宋"/>
          <w:sz w:val="24"/>
          <w:szCs w:val="24"/>
          <w:highlight w:val="none"/>
        </w:rPr>
        <w:t>采用纸质递交形式采购（A）</w:t>
      </w:r>
    </w:p>
    <w:p w14:paraId="5AB2F115">
      <w:pPr>
        <w:tabs>
          <w:tab w:val="left" w:pos="360"/>
        </w:tabs>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濉溪县中医医院行政楼4层党员活动1室。</w:t>
      </w:r>
    </w:p>
    <w:p w14:paraId="1EFD0632">
      <w:pPr>
        <w:tabs>
          <w:tab w:val="left" w:pos="360"/>
        </w:tabs>
        <w:spacing w:line="400" w:lineRule="exact"/>
        <w:ind w:firstLine="480" w:firstLineChars="200"/>
        <w:rPr>
          <w:rFonts w:hint="eastAsia" w:ascii="仿宋" w:hAnsi="仿宋" w:eastAsia="仿宋" w:cs="仿宋"/>
          <w:sz w:val="24"/>
          <w:szCs w:val="24"/>
          <w:highlight w:val="none"/>
        </w:rPr>
      </w:pPr>
      <w:r>
        <w:rPr>
          <w:rFonts w:ascii="仿宋" w:hAnsi="仿宋" w:eastAsia="仿宋" w:cs="仿宋"/>
          <w:sz w:val="24"/>
          <w:szCs w:val="24"/>
          <w:highlight w:val="none"/>
        </w:rPr>
        <w:sym w:font="Wingdings 2" w:char="F0A3"/>
      </w:r>
      <w:r>
        <w:rPr>
          <w:rFonts w:hint="eastAsia" w:ascii="仿宋" w:hAnsi="仿宋" w:eastAsia="仿宋" w:cs="仿宋"/>
          <w:sz w:val="24"/>
          <w:szCs w:val="24"/>
          <w:highlight w:val="none"/>
        </w:rPr>
        <w:t>采用全流程电子形式递交（B</w:t>
      </w:r>
      <w:r>
        <w:rPr>
          <w:rFonts w:ascii="仿宋" w:hAnsi="仿宋" w:eastAsia="仿宋" w:cs="仿宋"/>
          <w:sz w:val="24"/>
          <w:szCs w:val="24"/>
          <w:highlight w:val="none"/>
        </w:rPr>
        <w:t>）</w:t>
      </w:r>
    </w:p>
    <w:p w14:paraId="612D7063">
      <w:pPr>
        <w:tabs>
          <w:tab w:val="left" w:pos="360"/>
        </w:tabs>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加密响应文件通过 “优质采云采购平台”（http://www.youzhicai.com/）递交。</w:t>
      </w:r>
    </w:p>
    <w:p w14:paraId="4E2E6833">
      <w:pPr>
        <w:pStyle w:val="3"/>
        <w:spacing w:line="240" w:lineRule="auto"/>
        <w:rPr>
          <w:rFonts w:hint="eastAsia" w:ascii="仿宋" w:hAnsi="仿宋" w:eastAsia="仿宋" w:cs="仿宋"/>
          <w:highlight w:val="none"/>
        </w:rPr>
      </w:pPr>
      <w:bookmarkStart w:id="25" w:name="_Toc6139"/>
      <w:bookmarkStart w:id="26" w:name="_Toc196323378"/>
      <w:bookmarkStart w:id="27" w:name="_Toc501460637"/>
      <w:r>
        <w:rPr>
          <w:rFonts w:hint="eastAsia" w:ascii="仿宋" w:hAnsi="仿宋" w:eastAsia="仿宋" w:cs="仿宋"/>
          <w:highlight w:val="none"/>
        </w:rPr>
        <w:t>6. 响应文件开启时间和地点</w:t>
      </w:r>
      <w:bookmarkEnd w:id="25"/>
      <w:bookmarkEnd w:id="26"/>
    </w:p>
    <w:p w14:paraId="171499CE">
      <w:pPr>
        <w:pStyle w:val="16"/>
        <w:ind w:firstLine="424" w:firstLineChars="177"/>
        <w:rPr>
          <w:rFonts w:hint="eastAsia" w:ascii="仿宋" w:hAnsi="仿宋" w:eastAsia="仿宋" w:cs="仿宋"/>
          <w:sz w:val="24"/>
          <w:szCs w:val="24"/>
          <w:highlight w:val="none"/>
        </w:rPr>
      </w:pPr>
      <w:r>
        <w:rPr>
          <w:rFonts w:hint="eastAsia" w:ascii="仿宋" w:hAnsi="仿宋" w:eastAsia="仿宋" w:cs="仿宋"/>
          <w:sz w:val="24"/>
          <w:szCs w:val="24"/>
          <w:highlight w:val="none"/>
        </w:rPr>
        <w:t>开启时间：在响应文件递交截止时间的同一时间进行。</w:t>
      </w:r>
    </w:p>
    <w:p w14:paraId="73865479">
      <w:pPr>
        <w:spacing w:line="400" w:lineRule="exact"/>
        <w:ind w:firstLine="424" w:firstLineChars="17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地点：</w:t>
      </w:r>
      <w:r>
        <w:rPr>
          <w:rFonts w:ascii="宋体" w:hAnsi="宋体" w:eastAsia="仿宋"/>
          <w:bCs/>
          <w:sz w:val="24"/>
          <w:highlight w:val="none"/>
        </w:rPr>
        <w:t xml:space="preserve"> </w:t>
      </w:r>
      <w:r>
        <w:rPr>
          <w:rFonts w:ascii="宋体" w:hAnsi="宋体" w:eastAsia="仿宋"/>
          <w:bCs/>
          <w:sz w:val="24"/>
          <w:highlight w:val="none"/>
        </w:rPr>
        <w:sym w:font="Wingdings" w:char="F0FE"/>
      </w:r>
      <w:r>
        <w:rPr>
          <w:rFonts w:hint="eastAsia" w:ascii="仿宋" w:hAnsi="仿宋" w:eastAsia="仿宋" w:cs="仿宋"/>
          <w:sz w:val="24"/>
          <w:szCs w:val="24"/>
          <w:highlight w:val="none"/>
        </w:rPr>
        <w:t xml:space="preserve"> （A）</w:t>
      </w:r>
      <w:r>
        <w:rPr>
          <w:rFonts w:hint="eastAsia"/>
          <w:highlight w:val="none"/>
        </w:rPr>
        <w:t xml:space="preserve"> </w:t>
      </w:r>
      <w:r>
        <w:rPr>
          <w:rFonts w:hint="eastAsia" w:ascii="仿宋" w:hAnsi="仿宋" w:eastAsia="仿宋" w:cs="仿宋"/>
          <w:sz w:val="24"/>
          <w:szCs w:val="24"/>
          <w:highlight w:val="none"/>
        </w:rPr>
        <w:t>濉溪县中医医院行政楼4层党员活动1室。</w:t>
      </w:r>
    </w:p>
    <w:p w14:paraId="154FAABC">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□（B）线上开启地点：“优质采云采购平台”（</w:t>
      </w:r>
      <w:r>
        <w:rPr>
          <w:highlight w:val="none"/>
        </w:rPr>
        <w:fldChar w:fldCharType="begin"/>
      </w:r>
      <w:r>
        <w:rPr>
          <w:highlight w:val="none"/>
        </w:rPr>
        <w:instrText xml:space="preserve"> HYPERLINK "http://www.youzhicai.com/" </w:instrText>
      </w:r>
      <w:r>
        <w:rPr>
          <w:highlight w:val="none"/>
        </w:rPr>
        <w:fldChar w:fldCharType="separate"/>
      </w:r>
      <w:r>
        <w:rPr>
          <w:rFonts w:ascii="仿宋" w:hAnsi="仿宋" w:cs="仿宋"/>
          <w:sz w:val="24"/>
          <w:szCs w:val="24"/>
          <w:highlight w:val="none"/>
        </w:rPr>
        <w:t>http://www.youzhicai.com/</w:t>
      </w:r>
      <w:r>
        <w:rPr>
          <w:rFonts w:ascii="仿宋" w:hAnsi="仿宋" w:cs="仿宋"/>
          <w:sz w:val="24"/>
          <w:szCs w:val="24"/>
          <w:highlight w:val="none"/>
        </w:rPr>
        <w:fldChar w:fldCharType="end"/>
      </w:r>
      <w:r>
        <w:rPr>
          <w:rFonts w:hint="eastAsia" w:ascii="仿宋" w:hAnsi="仿宋" w:eastAsia="仿宋" w:cs="仿宋"/>
          <w:sz w:val="24"/>
          <w:szCs w:val="24"/>
          <w:highlight w:val="none"/>
        </w:rPr>
        <w:t>）</w:t>
      </w:r>
    </w:p>
    <w:bookmarkEnd w:id="27"/>
    <w:p w14:paraId="5D592186">
      <w:pPr>
        <w:pStyle w:val="3"/>
        <w:spacing w:line="240" w:lineRule="auto"/>
        <w:rPr>
          <w:rFonts w:hint="eastAsia" w:ascii="仿宋" w:hAnsi="仿宋" w:eastAsia="仿宋" w:cs="仿宋"/>
          <w:highlight w:val="none"/>
        </w:rPr>
      </w:pPr>
      <w:bookmarkStart w:id="28" w:name="_Toc12913"/>
      <w:bookmarkStart w:id="29" w:name="_Toc196323379"/>
      <w:bookmarkStart w:id="30" w:name="_Toc21060"/>
      <w:bookmarkStart w:id="31" w:name="_Toc501460638"/>
      <w:r>
        <w:rPr>
          <w:rFonts w:hint="eastAsia" w:ascii="仿宋" w:hAnsi="仿宋" w:eastAsia="仿宋" w:cs="仿宋"/>
          <w:highlight w:val="none"/>
        </w:rPr>
        <w:t>7. 发布公告的媒介</w:t>
      </w:r>
      <w:bookmarkEnd w:id="28"/>
      <w:bookmarkEnd w:id="29"/>
      <w:bookmarkEnd w:id="30"/>
    </w:p>
    <w:p w14:paraId="2BE138AD">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本询比公告在濉溪县中医医院官网（https://sxxzyyy.com/）上发布。</w:t>
      </w:r>
    </w:p>
    <w:p w14:paraId="2B8B3F48">
      <w:pPr>
        <w:pStyle w:val="3"/>
        <w:spacing w:line="240" w:lineRule="auto"/>
        <w:rPr>
          <w:rFonts w:hint="eastAsia" w:ascii="仿宋" w:hAnsi="仿宋" w:eastAsia="仿宋" w:cs="仿宋"/>
        </w:rPr>
      </w:pPr>
      <w:bookmarkStart w:id="32" w:name="_Toc26960"/>
      <w:bookmarkStart w:id="33" w:name="_Toc28023"/>
      <w:bookmarkStart w:id="34" w:name="_Toc196323380"/>
      <w:r>
        <w:rPr>
          <w:rFonts w:hint="eastAsia" w:ascii="仿宋" w:hAnsi="仿宋" w:eastAsia="仿宋" w:cs="仿宋"/>
        </w:rPr>
        <w:t>8. 其他</w:t>
      </w:r>
      <w:bookmarkEnd w:id="32"/>
      <w:bookmarkEnd w:id="33"/>
      <w:bookmarkEnd w:id="34"/>
    </w:p>
    <w:p w14:paraId="16E6392B">
      <w:pPr>
        <w:spacing w:line="400" w:lineRule="exact"/>
        <w:ind w:firstLine="480" w:firstLineChars="200"/>
        <w:rPr>
          <w:rFonts w:hint="eastAsia" w:ascii="仿宋" w:hAnsi="仿宋" w:eastAsia="仿宋" w:cs="仿宋"/>
        </w:rPr>
      </w:pPr>
      <w:r>
        <w:rPr>
          <w:rFonts w:hint="eastAsia" w:ascii="仿宋" w:hAnsi="仿宋" w:eastAsia="仿宋" w:cs="仿宋"/>
          <w:sz w:val="24"/>
          <w:szCs w:val="24"/>
        </w:rPr>
        <w:t>无。</w:t>
      </w:r>
    </w:p>
    <w:p w14:paraId="0A1465B1">
      <w:pPr>
        <w:pStyle w:val="3"/>
        <w:spacing w:line="240" w:lineRule="auto"/>
        <w:rPr>
          <w:rFonts w:hint="eastAsia" w:ascii="仿宋" w:hAnsi="仿宋" w:eastAsia="仿宋" w:cs="仿宋"/>
        </w:rPr>
      </w:pPr>
      <w:bookmarkStart w:id="35" w:name="_Toc196323381"/>
      <w:bookmarkStart w:id="36" w:name="_Toc22818"/>
      <w:r>
        <w:rPr>
          <w:rFonts w:hint="eastAsia" w:ascii="仿宋" w:hAnsi="仿宋" w:eastAsia="仿宋" w:cs="仿宋"/>
        </w:rPr>
        <w:t>9. 联系方式</w:t>
      </w:r>
      <w:bookmarkEnd w:id="31"/>
      <w:bookmarkEnd w:id="35"/>
      <w:bookmarkEnd w:id="36"/>
    </w:p>
    <w:bookmarkEnd w:id="2"/>
    <w:bookmarkEnd w:id="3"/>
    <w:bookmarkEnd w:id="4"/>
    <w:p w14:paraId="0F74D1CB">
      <w:pPr>
        <w:spacing w:line="400" w:lineRule="exact"/>
        <w:ind w:firstLine="480" w:firstLineChars="200"/>
        <w:rPr>
          <w:rFonts w:hint="eastAsia" w:ascii="仿宋" w:hAnsi="仿宋" w:eastAsia="仿宋" w:cs="仿宋"/>
          <w:sz w:val="24"/>
          <w:szCs w:val="24"/>
        </w:rPr>
      </w:pPr>
      <w:bookmarkStart w:id="37" w:name="_Toc247513935"/>
      <w:bookmarkEnd w:id="37"/>
      <w:bookmarkStart w:id="38" w:name="_Toc144974480"/>
      <w:bookmarkEnd w:id="38"/>
      <w:bookmarkStart w:id="39" w:name="_Toc352691456"/>
      <w:bookmarkEnd w:id="39"/>
      <w:bookmarkStart w:id="40" w:name="_Toc152045513"/>
      <w:bookmarkEnd w:id="40"/>
      <w:bookmarkStart w:id="41" w:name="_Toc300834927"/>
      <w:bookmarkEnd w:id="41"/>
      <w:bookmarkStart w:id="42" w:name="_Toc361508562"/>
      <w:bookmarkEnd w:id="42"/>
      <w:bookmarkStart w:id="43" w:name="_Toc361508563"/>
      <w:bookmarkEnd w:id="43"/>
      <w:bookmarkStart w:id="44" w:name="_Toc30817"/>
      <w:bookmarkEnd w:id="44"/>
      <w:bookmarkStart w:id="45" w:name="_Toc369531497"/>
      <w:bookmarkEnd w:id="45"/>
      <w:bookmarkStart w:id="46" w:name="_Toc10785"/>
      <w:bookmarkEnd w:id="46"/>
      <w:bookmarkStart w:id="47" w:name="_Toc152045512"/>
      <w:bookmarkEnd w:id="47"/>
      <w:bookmarkStart w:id="48" w:name="_Toc384308188"/>
      <w:bookmarkEnd w:id="48"/>
      <w:bookmarkStart w:id="49" w:name="_Toc369531495"/>
      <w:bookmarkEnd w:id="49"/>
      <w:bookmarkStart w:id="50" w:name="_Toc152042289"/>
      <w:bookmarkEnd w:id="50"/>
      <w:bookmarkStart w:id="51" w:name="_Toc384308185"/>
      <w:bookmarkEnd w:id="51"/>
      <w:bookmarkStart w:id="52" w:name="_Toc361508560"/>
      <w:bookmarkEnd w:id="52"/>
      <w:bookmarkStart w:id="53" w:name="_Toc300834930"/>
      <w:bookmarkEnd w:id="53"/>
      <w:bookmarkStart w:id="54" w:name="_Toc17972"/>
      <w:bookmarkEnd w:id="54"/>
      <w:bookmarkStart w:id="55" w:name="_Toc247513934"/>
      <w:bookmarkEnd w:id="55"/>
      <w:bookmarkStart w:id="56" w:name="_Toc369531498"/>
      <w:bookmarkEnd w:id="56"/>
      <w:bookmarkStart w:id="57" w:name="_Toc384308187"/>
      <w:bookmarkEnd w:id="57"/>
      <w:bookmarkStart w:id="58" w:name="_Toc352691453"/>
      <w:bookmarkEnd w:id="58"/>
      <w:bookmarkStart w:id="59" w:name="_Toc300834929"/>
      <w:bookmarkEnd w:id="59"/>
      <w:bookmarkStart w:id="60" w:name="_Toc144974481"/>
      <w:bookmarkEnd w:id="60"/>
      <w:bookmarkStart w:id="61" w:name="_Toc247527535"/>
      <w:bookmarkEnd w:id="61"/>
      <w:bookmarkStart w:id="62" w:name="_Toc152042288"/>
      <w:bookmarkEnd w:id="62"/>
      <w:bookmarkStart w:id="63" w:name="_Toc352691455"/>
      <w:bookmarkEnd w:id="63"/>
      <w:bookmarkStart w:id="64" w:name="_Toc247527536"/>
      <w:bookmarkEnd w:id="64"/>
      <w:r>
        <w:rPr>
          <w:rFonts w:hint="eastAsia" w:ascii="仿宋" w:hAnsi="仿宋" w:eastAsia="仿宋" w:cs="仿宋"/>
          <w:sz w:val="24"/>
          <w:szCs w:val="24"/>
        </w:rPr>
        <w:t>采购人：濉溪县中医医院</w:t>
      </w:r>
    </w:p>
    <w:p w14:paraId="1E8C213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联系人：张主任</w:t>
      </w:r>
    </w:p>
    <w:p w14:paraId="4694607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r>
        <w:rPr>
          <w:rFonts w:ascii="仿宋" w:hAnsi="仿宋" w:eastAsia="仿宋" w:cs="仿宋"/>
          <w:sz w:val="24"/>
          <w:szCs w:val="24"/>
        </w:rPr>
        <w:t>0561—6828308</w:t>
      </w:r>
    </w:p>
    <w:p w14:paraId="597BB7E5">
      <w:pPr>
        <w:spacing w:line="400" w:lineRule="exact"/>
        <w:ind w:firstLine="480" w:firstLineChars="200"/>
        <w:jc w:val="right"/>
        <w:rPr>
          <w:rFonts w:hint="eastAsia" w:ascii="仿宋" w:hAnsi="仿宋" w:eastAsia="仿宋" w:cs="仿宋"/>
          <w:sz w:val="24"/>
          <w:szCs w:val="24"/>
        </w:rPr>
        <w:sectPr>
          <w:footerReference r:id="rId3" w:type="default"/>
          <w:type w:val="continuous"/>
          <w:pgSz w:w="12240" w:h="15840"/>
          <w:pgMar w:top="1440" w:right="1800" w:bottom="1440" w:left="1800" w:header="720" w:footer="720" w:gutter="0"/>
          <w:cols w:space="720" w:num="1"/>
          <w:docGrid w:linePitch="285" w:charSpace="0"/>
        </w:sectPr>
      </w:pPr>
      <w:r>
        <w:rPr>
          <w:rFonts w:hint="eastAsia" w:ascii="仿宋" w:hAnsi="仿宋" w:eastAsia="仿宋" w:cs="仿宋"/>
          <w:sz w:val="24"/>
          <w:szCs w:val="24"/>
        </w:rPr>
        <w:t>2025年1</w:t>
      </w:r>
      <w:r>
        <w:rPr>
          <w:rFonts w:hint="eastAsia" w:ascii="仿宋" w:hAnsi="仿宋" w:eastAsia="仿宋" w:cs="仿宋"/>
          <w:sz w:val="24"/>
          <w:szCs w:val="24"/>
          <w:lang w:val="en-US" w:eastAsia="zh-CN"/>
        </w:rPr>
        <w:t>1</w:t>
      </w:r>
      <w:bookmarkStart w:id="513" w:name="_GoBack"/>
      <w:bookmarkEnd w:id="513"/>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日</w:t>
      </w:r>
    </w:p>
    <w:p w14:paraId="669E83BA">
      <w:pPr>
        <w:spacing w:line="400" w:lineRule="exact"/>
        <w:ind w:firstLine="420" w:firstLineChars="200"/>
        <w:jc w:val="right"/>
        <w:rPr>
          <w:rFonts w:ascii="Times New Roman" w:hAnsi="Times New Roman"/>
        </w:rPr>
      </w:pPr>
    </w:p>
    <w:p w14:paraId="40E22071">
      <w:pPr>
        <w:pStyle w:val="2"/>
        <w:spacing w:line="240" w:lineRule="auto"/>
        <w:jc w:val="center"/>
        <w:rPr>
          <w:rFonts w:hint="eastAsia" w:ascii="仿宋" w:hAnsi="仿宋" w:eastAsia="仿宋" w:cs="仿宋"/>
        </w:rPr>
      </w:pPr>
      <w:bookmarkStart w:id="65" w:name="_Toc501460648"/>
      <w:bookmarkStart w:id="66" w:name="_Toc5836"/>
      <w:r>
        <w:rPr>
          <w:rFonts w:hint="eastAsia" w:ascii="仿宋" w:hAnsi="仿宋" w:eastAsia="仿宋" w:cs="仿宋"/>
        </w:rPr>
        <w:t>第二章  供应商须知</w:t>
      </w:r>
      <w:bookmarkEnd w:id="65"/>
      <w:bookmarkEnd w:id="66"/>
    </w:p>
    <w:p w14:paraId="353DE3D4">
      <w:pPr>
        <w:pStyle w:val="3"/>
        <w:spacing w:line="240" w:lineRule="auto"/>
        <w:jc w:val="center"/>
        <w:rPr>
          <w:rFonts w:hint="eastAsia" w:ascii="仿宋" w:hAnsi="仿宋" w:eastAsia="仿宋" w:cs="仿宋"/>
        </w:rPr>
      </w:pPr>
      <w:bookmarkStart w:id="67" w:name="_Toc152045528"/>
      <w:bookmarkStart w:id="68" w:name="_Toc5916"/>
      <w:bookmarkStart w:id="69" w:name="_Toc296602419"/>
      <w:bookmarkStart w:id="70" w:name="_Toc247085688"/>
      <w:bookmarkStart w:id="71" w:name="_Toc179632545"/>
      <w:bookmarkStart w:id="72" w:name="_Toc152042304"/>
      <w:bookmarkStart w:id="73" w:name="_Toc144974496"/>
      <w:bookmarkStart w:id="74" w:name="_Toc246996917"/>
      <w:bookmarkStart w:id="75" w:name="_Toc246996174"/>
      <w:r>
        <w:rPr>
          <w:rFonts w:hint="eastAsia" w:ascii="仿宋" w:hAnsi="仿宋" w:eastAsia="仿宋" w:cs="仿宋"/>
        </w:rPr>
        <w:t>供应商须知前附表</w:t>
      </w:r>
      <w:bookmarkEnd w:id="67"/>
      <w:bookmarkEnd w:id="68"/>
      <w:bookmarkEnd w:id="69"/>
      <w:bookmarkEnd w:id="70"/>
      <w:bookmarkEnd w:id="71"/>
      <w:bookmarkEnd w:id="72"/>
      <w:bookmarkEnd w:id="73"/>
      <w:bookmarkEnd w:id="74"/>
      <w:bookmarkEnd w:id="75"/>
    </w:p>
    <w:tbl>
      <w:tblPr>
        <w:tblStyle w:val="33"/>
        <w:tblW w:w="8894" w:type="dxa"/>
        <w:tblInd w:w="0" w:type="dxa"/>
        <w:tblLayout w:type="fixed"/>
        <w:tblCellMar>
          <w:top w:w="0" w:type="dxa"/>
          <w:left w:w="108" w:type="dxa"/>
          <w:bottom w:w="0" w:type="dxa"/>
          <w:right w:w="108" w:type="dxa"/>
        </w:tblCellMar>
      </w:tblPr>
      <w:tblGrid>
        <w:gridCol w:w="1101"/>
        <w:gridCol w:w="3118"/>
        <w:gridCol w:w="4675"/>
      </w:tblGrid>
      <w:tr w14:paraId="5F021017">
        <w:tblPrEx>
          <w:tblCellMar>
            <w:top w:w="0" w:type="dxa"/>
            <w:left w:w="108" w:type="dxa"/>
            <w:bottom w:w="0" w:type="dxa"/>
            <w:right w:w="108" w:type="dxa"/>
          </w:tblCellMar>
        </w:tblPrEx>
        <w:trPr>
          <w:trHeight w:val="567" w:hRule="atLeast"/>
          <w:tblHeader/>
        </w:trPr>
        <w:tc>
          <w:tcPr>
            <w:tcW w:w="1101" w:type="dxa"/>
            <w:tcBorders>
              <w:top w:val="single" w:color="auto" w:sz="4" w:space="0"/>
              <w:left w:val="single" w:color="auto" w:sz="4" w:space="0"/>
              <w:bottom w:val="single" w:color="auto" w:sz="4" w:space="0"/>
              <w:right w:val="single" w:color="auto" w:sz="4" w:space="0"/>
            </w:tcBorders>
            <w:vAlign w:val="center"/>
          </w:tcPr>
          <w:p w14:paraId="606D238B">
            <w:pPr>
              <w:snapToGrid w:val="0"/>
              <w:jc w:val="center"/>
              <w:rPr>
                <w:rFonts w:hint="eastAsia" w:ascii="仿宋" w:hAnsi="仿宋" w:eastAsia="仿宋" w:cs="仿宋"/>
                <w:b/>
                <w:sz w:val="24"/>
                <w:szCs w:val="24"/>
              </w:rPr>
            </w:pPr>
            <w:r>
              <w:rPr>
                <w:rFonts w:hint="eastAsia" w:ascii="仿宋" w:hAnsi="仿宋" w:eastAsia="仿宋" w:cs="仿宋"/>
                <w:b/>
                <w:sz w:val="24"/>
                <w:szCs w:val="24"/>
              </w:rPr>
              <w:t>条款号</w:t>
            </w:r>
          </w:p>
        </w:tc>
        <w:tc>
          <w:tcPr>
            <w:tcW w:w="3118" w:type="dxa"/>
            <w:tcBorders>
              <w:top w:val="single" w:color="auto" w:sz="4" w:space="0"/>
              <w:left w:val="single" w:color="auto" w:sz="4" w:space="0"/>
              <w:bottom w:val="single" w:color="auto" w:sz="4" w:space="0"/>
              <w:right w:val="single" w:color="auto" w:sz="4" w:space="0"/>
            </w:tcBorders>
            <w:vAlign w:val="center"/>
          </w:tcPr>
          <w:p w14:paraId="4D14A73C">
            <w:pPr>
              <w:snapToGrid w:val="0"/>
              <w:jc w:val="center"/>
              <w:rPr>
                <w:rFonts w:hint="eastAsia" w:ascii="仿宋" w:hAnsi="仿宋" w:eastAsia="仿宋" w:cs="仿宋"/>
                <w:b/>
                <w:sz w:val="24"/>
                <w:szCs w:val="24"/>
              </w:rPr>
            </w:pPr>
            <w:r>
              <w:rPr>
                <w:rFonts w:hint="eastAsia" w:ascii="仿宋" w:hAnsi="仿宋" w:eastAsia="仿宋" w:cs="仿宋"/>
                <w:b/>
                <w:sz w:val="24"/>
                <w:szCs w:val="24"/>
              </w:rPr>
              <w:t>条  款  名  称</w:t>
            </w:r>
          </w:p>
        </w:tc>
        <w:tc>
          <w:tcPr>
            <w:tcW w:w="4675" w:type="dxa"/>
            <w:tcBorders>
              <w:top w:val="single" w:color="auto" w:sz="4" w:space="0"/>
              <w:left w:val="single" w:color="auto" w:sz="4" w:space="0"/>
              <w:bottom w:val="single" w:color="auto" w:sz="4" w:space="0"/>
              <w:right w:val="single" w:color="auto" w:sz="4" w:space="0"/>
            </w:tcBorders>
            <w:vAlign w:val="center"/>
          </w:tcPr>
          <w:p w14:paraId="15A72EA3">
            <w:pPr>
              <w:snapToGrid w:val="0"/>
              <w:jc w:val="center"/>
              <w:rPr>
                <w:rFonts w:hint="eastAsia" w:ascii="仿宋" w:hAnsi="仿宋" w:eastAsia="仿宋" w:cs="仿宋"/>
                <w:b/>
                <w:sz w:val="24"/>
                <w:szCs w:val="24"/>
              </w:rPr>
            </w:pPr>
            <w:r>
              <w:rPr>
                <w:rFonts w:hint="eastAsia" w:ascii="仿宋" w:hAnsi="仿宋" w:eastAsia="仿宋" w:cs="仿宋"/>
                <w:b/>
                <w:sz w:val="24"/>
                <w:szCs w:val="24"/>
              </w:rPr>
              <w:t>编  列  内  容</w:t>
            </w:r>
          </w:p>
        </w:tc>
      </w:tr>
      <w:tr w14:paraId="62995EA0">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33D9A20A">
            <w:pPr>
              <w:snapToGrid w:val="0"/>
              <w:jc w:val="center"/>
              <w:rPr>
                <w:rFonts w:hint="eastAsia" w:ascii="仿宋" w:hAnsi="仿宋" w:eastAsia="仿宋" w:cs="仿宋"/>
                <w:sz w:val="24"/>
                <w:szCs w:val="24"/>
              </w:rPr>
            </w:pPr>
            <w:r>
              <w:rPr>
                <w:rFonts w:hint="eastAsia" w:ascii="仿宋" w:hAnsi="仿宋" w:eastAsia="仿宋" w:cs="仿宋"/>
                <w:sz w:val="24"/>
                <w:szCs w:val="24"/>
              </w:rPr>
              <w:t>1.7.1</w:t>
            </w:r>
          </w:p>
        </w:tc>
        <w:tc>
          <w:tcPr>
            <w:tcW w:w="3118" w:type="dxa"/>
            <w:tcBorders>
              <w:top w:val="single" w:color="auto" w:sz="4" w:space="0"/>
              <w:left w:val="single" w:color="auto" w:sz="4" w:space="0"/>
              <w:bottom w:val="single" w:color="auto" w:sz="4" w:space="0"/>
              <w:right w:val="single" w:color="auto" w:sz="4" w:space="0"/>
            </w:tcBorders>
            <w:vAlign w:val="center"/>
          </w:tcPr>
          <w:p w14:paraId="57FD8553">
            <w:pPr>
              <w:snapToGrid w:val="0"/>
              <w:jc w:val="center"/>
              <w:rPr>
                <w:rFonts w:hint="eastAsia" w:ascii="仿宋" w:hAnsi="仿宋" w:eastAsia="仿宋" w:cs="仿宋"/>
                <w:sz w:val="24"/>
                <w:szCs w:val="24"/>
              </w:rPr>
            </w:pPr>
            <w:r>
              <w:rPr>
                <w:rFonts w:hint="eastAsia" w:ascii="仿宋" w:hAnsi="仿宋" w:eastAsia="仿宋" w:cs="仿宋"/>
                <w:sz w:val="24"/>
                <w:szCs w:val="24"/>
              </w:rPr>
              <w:t>踏勘现场</w:t>
            </w:r>
          </w:p>
        </w:tc>
        <w:tc>
          <w:tcPr>
            <w:tcW w:w="4675" w:type="dxa"/>
            <w:tcBorders>
              <w:top w:val="single" w:color="auto" w:sz="4" w:space="0"/>
              <w:left w:val="single" w:color="auto" w:sz="4" w:space="0"/>
              <w:bottom w:val="single" w:color="auto" w:sz="4" w:space="0"/>
              <w:right w:val="single" w:color="auto" w:sz="4" w:space="0"/>
            </w:tcBorders>
            <w:vAlign w:val="center"/>
          </w:tcPr>
          <w:p w14:paraId="6FBEC92C">
            <w:pPr>
              <w:pStyle w:val="10"/>
              <w:topLinePunct/>
              <w:snapToGrid w:val="0"/>
              <w:rPr>
                <w:rFonts w:hint="eastAsia" w:ascii="仿宋" w:hAnsi="仿宋" w:eastAsia="仿宋" w:cs="仿宋"/>
                <w:szCs w:val="24"/>
              </w:rPr>
            </w:pPr>
            <w:r>
              <w:rPr>
                <w:rFonts w:hint="eastAsia" w:ascii="仿宋" w:hAnsi="仿宋" w:eastAsia="仿宋" w:cs="仿宋"/>
                <w:szCs w:val="24"/>
                <w:highlight w:val="yellow"/>
              </w:rPr>
              <w:sym w:font="Wingdings 2" w:char="0052"/>
            </w:r>
            <w:r>
              <w:rPr>
                <w:rFonts w:hint="eastAsia" w:ascii="仿宋" w:hAnsi="仿宋" w:eastAsia="仿宋" w:cs="仿宋"/>
                <w:szCs w:val="24"/>
                <w:highlight w:val="yellow"/>
              </w:rPr>
              <w:t>不组织。供应商可自行踏勘现场，联系人：曾队（15856102212）。</w:t>
            </w:r>
          </w:p>
          <w:p w14:paraId="5AD08951">
            <w:pPr>
              <w:snapToGrid w:val="0"/>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组织</w:t>
            </w:r>
          </w:p>
        </w:tc>
      </w:tr>
      <w:tr w14:paraId="5DF701D6">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2AB2576B">
            <w:pPr>
              <w:snapToGrid w:val="0"/>
              <w:jc w:val="center"/>
              <w:rPr>
                <w:rFonts w:hint="eastAsia" w:ascii="仿宋" w:hAnsi="仿宋" w:eastAsia="仿宋" w:cs="仿宋"/>
                <w:sz w:val="24"/>
                <w:szCs w:val="24"/>
              </w:rPr>
            </w:pPr>
            <w:r>
              <w:rPr>
                <w:rFonts w:hint="eastAsia" w:ascii="仿宋" w:hAnsi="仿宋" w:eastAsia="仿宋" w:cs="仿宋"/>
                <w:sz w:val="24"/>
                <w:szCs w:val="24"/>
              </w:rPr>
              <w:t>1.8</w:t>
            </w:r>
          </w:p>
        </w:tc>
        <w:tc>
          <w:tcPr>
            <w:tcW w:w="3118" w:type="dxa"/>
            <w:tcBorders>
              <w:top w:val="single" w:color="auto" w:sz="4" w:space="0"/>
              <w:left w:val="single" w:color="auto" w:sz="4" w:space="0"/>
              <w:bottom w:val="single" w:color="auto" w:sz="4" w:space="0"/>
              <w:right w:val="single" w:color="auto" w:sz="4" w:space="0"/>
            </w:tcBorders>
            <w:vAlign w:val="center"/>
          </w:tcPr>
          <w:p w14:paraId="40C83D3C">
            <w:pPr>
              <w:snapToGrid w:val="0"/>
              <w:jc w:val="center"/>
              <w:rPr>
                <w:rFonts w:hint="eastAsia" w:ascii="仿宋" w:hAnsi="仿宋" w:eastAsia="仿宋" w:cs="仿宋"/>
                <w:sz w:val="24"/>
                <w:szCs w:val="24"/>
              </w:rPr>
            </w:pPr>
            <w:r>
              <w:rPr>
                <w:rFonts w:hint="eastAsia" w:ascii="仿宋" w:hAnsi="仿宋" w:eastAsia="仿宋" w:cs="仿宋"/>
                <w:sz w:val="24"/>
                <w:szCs w:val="24"/>
              </w:rPr>
              <w:t>询比采购预备会</w:t>
            </w:r>
          </w:p>
        </w:tc>
        <w:tc>
          <w:tcPr>
            <w:tcW w:w="4675" w:type="dxa"/>
            <w:tcBorders>
              <w:top w:val="single" w:color="auto" w:sz="4" w:space="0"/>
              <w:left w:val="single" w:color="auto" w:sz="4" w:space="0"/>
              <w:bottom w:val="single" w:color="auto" w:sz="4" w:space="0"/>
              <w:right w:val="single" w:color="auto" w:sz="4" w:space="0"/>
            </w:tcBorders>
            <w:vAlign w:val="center"/>
          </w:tcPr>
          <w:p w14:paraId="550CD5CC">
            <w:pPr>
              <w:snapToGrid w:val="0"/>
              <w:jc w:val="left"/>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不召开</w:t>
            </w:r>
          </w:p>
          <w:p w14:paraId="3FB4FC38">
            <w:pPr>
              <w:snapToGrid w:val="0"/>
              <w:jc w:val="left"/>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召开，召开时间：</w:t>
            </w:r>
          </w:p>
          <w:p w14:paraId="4B833966">
            <w:pPr>
              <w:snapToGrid w:val="0"/>
              <w:jc w:val="left"/>
              <w:rPr>
                <w:rFonts w:hint="eastAsia" w:ascii="仿宋" w:hAnsi="仿宋" w:eastAsia="仿宋" w:cs="仿宋"/>
                <w:sz w:val="24"/>
                <w:szCs w:val="24"/>
              </w:rPr>
            </w:pPr>
            <w:r>
              <w:rPr>
                <w:rFonts w:hint="eastAsia" w:ascii="仿宋" w:hAnsi="仿宋" w:eastAsia="仿宋" w:cs="仿宋"/>
                <w:sz w:val="24"/>
                <w:szCs w:val="24"/>
              </w:rPr>
              <w:t xml:space="preserve">       召开地点：</w:t>
            </w:r>
          </w:p>
        </w:tc>
      </w:tr>
      <w:tr w14:paraId="471E98F9">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545A97F1">
            <w:pPr>
              <w:snapToGrid w:val="0"/>
              <w:jc w:val="center"/>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9</w:t>
            </w:r>
            <w:r>
              <w:rPr>
                <w:rFonts w:ascii="仿宋" w:hAnsi="仿宋" w:eastAsia="仿宋" w:cs="仿宋"/>
                <w:sz w:val="24"/>
                <w:szCs w:val="24"/>
              </w:rPr>
              <w:t>.1</w:t>
            </w:r>
          </w:p>
        </w:tc>
        <w:tc>
          <w:tcPr>
            <w:tcW w:w="3118" w:type="dxa"/>
            <w:tcBorders>
              <w:top w:val="single" w:color="auto" w:sz="4" w:space="0"/>
              <w:left w:val="single" w:color="auto" w:sz="4" w:space="0"/>
              <w:bottom w:val="single" w:color="auto" w:sz="4" w:space="0"/>
              <w:right w:val="single" w:color="auto" w:sz="4" w:space="0"/>
            </w:tcBorders>
            <w:vAlign w:val="center"/>
          </w:tcPr>
          <w:p w14:paraId="7C5B1B43">
            <w:pPr>
              <w:snapToGrid w:val="0"/>
              <w:jc w:val="center"/>
              <w:rPr>
                <w:rFonts w:hint="eastAsia" w:ascii="仿宋" w:hAnsi="仿宋" w:eastAsia="仿宋" w:cs="仿宋"/>
                <w:sz w:val="24"/>
                <w:szCs w:val="24"/>
              </w:rPr>
            </w:pPr>
            <w:r>
              <w:rPr>
                <w:rFonts w:hint="eastAsia" w:ascii="仿宋" w:hAnsi="仿宋" w:eastAsia="仿宋" w:cs="仿宋"/>
                <w:sz w:val="24"/>
                <w:szCs w:val="24"/>
              </w:rPr>
              <w:t>分包</w:t>
            </w:r>
          </w:p>
        </w:tc>
        <w:tc>
          <w:tcPr>
            <w:tcW w:w="4675" w:type="dxa"/>
            <w:tcBorders>
              <w:top w:val="single" w:color="auto" w:sz="4" w:space="0"/>
              <w:left w:val="single" w:color="auto" w:sz="4" w:space="0"/>
              <w:bottom w:val="single" w:color="auto" w:sz="4" w:space="0"/>
              <w:right w:val="single" w:color="auto" w:sz="4" w:space="0"/>
            </w:tcBorders>
          </w:tcPr>
          <w:p w14:paraId="1EF17DDE">
            <w:pPr>
              <w:snapToGrid w:val="0"/>
              <w:jc w:val="left"/>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不允许</w:t>
            </w:r>
          </w:p>
          <w:p w14:paraId="560BACEC">
            <w:pPr>
              <w:snapToGrid w:val="0"/>
              <w:jc w:val="left"/>
              <w:rPr>
                <w:rFonts w:hint="eastAsia" w:ascii="仿宋" w:hAnsi="仿宋" w:eastAsia="仿宋" w:cs="仿宋"/>
                <w:sz w:val="24"/>
                <w:szCs w:val="24"/>
              </w:rPr>
            </w:pPr>
            <w:r>
              <w:rPr>
                <w:rFonts w:hint="eastAsia" w:ascii="仿宋" w:hAnsi="仿宋" w:eastAsia="仿宋" w:cs="仿宋"/>
                <w:sz w:val="24"/>
                <w:szCs w:val="24"/>
              </w:rPr>
              <w:t>□允许，分包内容要求： 分包金额要求： 对分包人的资质要求：</w:t>
            </w:r>
          </w:p>
        </w:tc>
      </w:tr>
      <w:tr w14:paraId="2C946AE8">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0BDBDECB">
            <w:pPr>
              <w:snapToGrid w:val="0"/>
              <w:jc w:val="center"/>
              <w:rPr>
                <w:rFonts w:hint="eastAsia" w:ascii="仿宋" w:hAnsi="仿宋" w:eastAsia="仿宋" w:cs="仿宋"/>
                <w:sz w:val="24"/>
                <w:szCs w:val="24"/>
              </w:rPr>
            </w:pPr>
            <w:r>
              <w:rPr>
                <w:rFonts w:hint="eastAsia" w:ascii="仿宋" w:hAnsi="仿宋" w:eastAsia="仿宋" w:cs="仿宋"/>
                <w:sz w:val="24"/>
                <w:szCs w:val="24"/>
              </w:rPr>
              <w:t>1.10.2</w:t>
            </w:r>
          </w:p>
        </w:tc>
        <w:tc>
          <w:tcPr>
            <w:tcW w:w="3118" w:type="dxa"/>
            <w:tcBorders>
              <w:top w:val="single" w:color="auto" w:sz="4" w:space="0"/>
              <w:left w:val="single" w:color="auto" w:sz="4" w:space="0"/>
              <w:bottom w:val="single" w:color="auto" w:sz="4" w:space="0"/>
              <w:right w:val="single" w:color="auto" w:sz="4" w:space="0"/>
            </w:tcBorders>
            <w:vAlign w:val="center"/>
          </w:tcPr>
          <w:p w14:paraId="4DFD02AD">
            <w:pPr>
              <w:snapToGrid w:val="0"/>
              <w:jc w:val="center"/>
              <w:rPr>
                <w:rFonts w:hint="eastAsia" w:ascii="仿宋" w:hAnsi="仿宋" w:eastAsia="仿宋" w:cs="仿宋"/>
                <w:sz w:val="24"/>
                <w:szCs w:val="24"/>
              </w:rPr>
            </w:pPr>
            <w:r>
              <w:rPr>
                <w:rFonts w:ascii="仿宋" w:hAnsi="仿宋" w:eastAsia="仿宋" w:cs="仿宋"/>
                <w:sz w:val="24"/>
                <w:szCs w:val="24"/>
              </w:rPr>
              <w:t>偏差范围及最高项数</w:t>
            </w:r>
          </w:p>
        </w:tc>
        <w:tc>
          <w:tcPr>
            <w:tcW w:w="4675" w:type="dxa"/>
            <w:tcBorders>
              <w:top w:val="single" w:color="auto" w:sz="4" w:space="0"/>
              <w:left w:val="single" w:color="auto" w:sz="4" w:space="0"/>
              <w:bottom w:val="single" w:color="auto" w:sz="4" w:space="0"/>
              <w:right w:val="single" w:color="auto" w:sz="4" w:space="0"/>
            </w:tcBorders>
            <w:vAlign w:val="center"/>
          </w:tcPr>
          <w:p w14:paraId="6F64128E">
            <w:pPr>
              <w:snapToGrid w:val="0"/>
              <w:rPr>
                <w:rFonts w:hint="eastAsia" w:ascii="仿宋" w:hAnsi="仿宋" w:eastAsia="仿宋" w:cs="仿宋"/>
                <w:sz w:val="24"/>
                <w:szCs w:val="24"/>
              </w:rPr>
            </w:pPr>
            <w:r>
              <w:rPr>
                <w:rFonts w:ascii="仿宋" w:hAnsi="仿宋" w:eastAsia="仿宋" w:cs="仿宋"/>
                <w:sz w:val="24"/>
                <w:szCs w:val="24"/>
              </w:rPr>
              <w:t>详见招标文件“</w:t>
            </w:r>
            <w:r>
              <w:rPr>
                <w:rFonts w:hint="eastAsia" w:ascii="仿宋" w:hAnsi="仿宋" w:eastAsia="仿宋" w:cs="仿宋"/>
                <w:sz w:val="24"/>
                <w:szCs w:val="24"/>
              </w:rPr>
              <w:t>采购需求</w:t>
            </w:r>
            <w:r>
              <w:rPr>
                <w:rFonts w:ascii="仿宋" w:hAnsi="仿宋" w:eastAsia="仿宋" w:cs="仿宋"/>
                <w:sz w:val="24"/>
                <w:szCs w:val="24"/>
              </w:rPr>
              <w:t>”及“</w:t>
            </w:r>
            <w:r>
              <w:rPr>
                <w:rFonts w:hint="eastAsia" w:ascii="仿宋" w:hAnsi="仿宋" w:eastAsia="仿宋" w:cs="仿宋"/>
                <w:sz w:val="24"/>
                <w:szCs w:val="24"/>
              </w:rPr>
              <w:t>评审</w:t>
            </w:r>
            <w:r>
              <w:rPr>
                <w:rFonts w:ascii="仿宋" w:hAnsi="仿宋" w:eastAsia="仿宋" w:cs="仿宋"/>
                <w:sz w:val="24"/>
                <w:szCs w:val="24"/>
              </w:rPr>
              <w:t>办法”</w:t>
            </w:r>
          </w:p>
        </w:tc>
      </w:tr>
      <w:tr w14:paraId="625DD91B">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03F81B5F">
            <w:pPr>
              <w:snapToGrid w:val="0"/>
              <w:jc w:val="center"/>
              <w:rPr>
                <w:rFonts w:hint="eastAsia" w:ascii="仿宋" w:hAnsi="仿宋" w:eastAsia="仿宋" w:cs="仿宋"/>
                <w:sz w:val="24"/>
                <w:szCs w:val="24"/>
              </w:rPr>
            </w:pPr>
            <w:r>
              <w:rPr>
                <w:rFonts w:hint="eastAsia" w:ascii="仿宋" w:hAnsi="仿宋" w:eastAsia="仿宋" w:cs="仿宋"/>
                <w:sz w:val="24"/>
                <w:szCs w:val="24"/>
              </w:rPr>
              <w:t>2.1（7）</w:t>
            </w:r>
          </w:p>
        </w:tc>
        <w:tc>
          <w:tcPr>
            <w:tcW w:w="3118" w:type="dxa"/>
            <w:tcBorders>
              <w:top w:val="single" w:color="auto" w:sz="4" w:space="0"/>
              <w:left w:val="single" w:color="auto" w:sz="4" w:space="0"/>
              <w:bottom w:val="single" w:color="auto" w:sz="4" w:space="0"/>
              <w:right w:val="single" w:color="auto" w:sz="4" w:space="0"/>
            </w:tcBorders>
            <w:vAlign w:val="center"/>
          </w:tcPr>
          <w:p w14:paraId="1BFC0EF7">
            <w:pPr>
              <w:snapToGrid w:val="0"/>
              <w:jc w:val="center"/>
              <w:rPr>
                <w:rFonts w:hint="eastAsia" w:ascii="仿宋" w:hAnsi="仿宋" w:eastAsia="仿宋" w:cs="仿宋"/>
                <w:sz w:val="24"/>
                <w:szCs w:val="24"/>
              </w:rPr>
            </w:pPr>
            <w:r>
              <w:rPr>
                <w:rFonts w:hint="eastAsia" w:ascii="仿宋" w:hAnsi="仿宋" w:eastAsia="仿宋" w:cs="仿宋"/>
                <w:sz w:val="24"/>
                <w:szCs w:val="24"/>
              </w:rPr>
              <w:t>构成采购文件的其他资料</w:t>
            </w:r>
          </w:p>
        </w:tc>
        <w:tc>
          <w:tcPr>
            <w:tcW w:w="4675" w:type="dxa"/>
            <w:tcBorders>
              <w:top w:val="single" w:color="auto" w:sz="4" w:space="0"/>
              <w:left w:val="single" w:color="auto" w:sz="4" w:space="0"/>
              <w:bottom w:val="single" w:color="auto" w:sz="4" w:space="0"/>
              <w:right w:val="single" w:color="auto" w:sz="4" w:space="0"/>
            </w:tcBorders>
            <w:vAlign w:val="center"/>
          </w:tcPr>
          <w:p w14:paraId="5646747A">
            <w:pPr>
              <w:snapToGrid w:val="0"/>
              <w:jc w:val="left"/>
              <w:rPr>
                <w:rFonts w:hint="eastAsia" w:ascii="仿宋" w:hAnsi="仿宋" w:eastAsia="仿宋" w:cs="仿宋"/>
                <w:sz w:val="24"/>
                <w:szCs w:val="24"/>
              </w:rPr>
            </w:pPr>
            <w:r>
              <w:rPr>
                <w:rFonts w:hint="eastAsia" w:ascii="仿宋" w:hAnsi="仿宋" w:eastAsia="仿宋" w:cs="仿宋"/>
                <w:sz w:val="24"/>
                <w:szCs w:val="24"/>
              </w:rPr>
              <w:t>资料名称：/</w:t>
            </w:r>
          </w:p>
        </w:tc>
      </w:tr>
      <w:tr w14:paraId="289B4861">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603C252C">
            <w:pPr>
              <w:snapToGrid w:val="0"/>
              <w:jc w:val="center"/>
              <w:rPr>
                <w:rFonts w:hint="eastAsia" w:ascii="仿宋" w:hAnsi="仿宋" w:eastAsia="仿宋" w:cs="仿宋"/>
                <w:sz w:val="24"/>
                <w:szCs w:val="24"/>
              </w:rPr>
            </w:pPr>
            <w:r>
              <w:rPr>
                <w:rFonts w:hint="eastAsia" w:ascii="仿宋" w:hAnsi="仿宋" w:eastAsia="仿宋" w:cs="仿宋"/>
                <w:sz w:val="24"/>
                <w:szCs w:val="24"/>
              </w:rPr>
              <w:t>2.2.1</w:t>
            </w:r>
          </w:p>
        </w:tc>
        <w:tc>
          <w:tcPr>
            <w:tcW w:w="3118" w:type="dxa"/>
            <w:tcBorders>
              <w:top w:val="single" w:color="auto" w:sz="4" w:space="0"/>
              <w:left w:val="single" w:color="auto" w:sz="4" w:space="0"/>
              <w:bottom w:val="single" w:color="auto" w:sz="4" w:space="0"/>
              <w:right w:val="single" w:color="auto" w:sz="4" w:space="0"/>
            </w:tcBorders>
            <w:vAlign w:val="center"/>
          </w:tcPr>
          <w:p w14:paraId="759099FD">
            <w:pPr>
              <w:snapToGrid w:val="0"/>
              <w:jc w:val="center"/>
              <w:rPr>
                <w:rFonts w:hint="eastAsia" w:ascii="仿宋" w:hAnsi="仿宋" w:eastAsia="仿宋" w:cs="仿宋"/>
                <w:sz w:val="24"/>
                <w:szCs w:val="24"/>
              </w:rPr>
            </w:pPr>
            <w:r>
              <w:rPr>
                <w:rFonts w:hint="eastAsia" w:ascii="仿宋" w:hAnsi="仿宋" w:eastAsia="仿宋" w:cs="仿宋"/>
                <w:sz w:val="24"/>
                <w:szCs w:val="24"/>
              </w:rPr>
              <w:t>供应商要求澄清采购文件的时间</w:t>
            </w:r>
          </w:p>
        </w:tc>
        <w:tc>
          <w:tcPr>
            <w:tcW w:w="4675" w:type="dxa"/>
            <w:tcBorders>
              <w:top w:val="single" w:color="auto" w:sz="4" w:space="0"/>
              <w:left w:val="single" w:color="auto" w:sz="4" w:space="0"/>
              <w:bottom w:val="single" w:color="auto" w:sz="4" w:space="0"/>
              <w:right w:val="single" w:color="auto" w:sz="4" w:space="0"/>
            </w:tcBorders>
            <w:vAlign w:val="center"/>
          </w:tcPr>
          <w:p w14:paraId="08924715">
            <w:pPr>
              <w:snapToGrid w:val="0"/>
              <w:jc w:val="left"/>
              <w:rPr>
                <w:rFonts w:hint="eastAsia" w:ascii="仿宋" w:hAnsi="仿宋" w:eastAsia="仿宋" w:cs="仿宋"/>
                <w:sz w:val="24"/>
                <w:szCs w:val="24"/>
              </w:rPr>
            </w:pPr>
            <w:r>
              <w:rPr>
                <w:rFonts w:hint="eastAsia" w:ascii="仿宋" w:hAnsi="仿宋" w:eastAsia="仿宋" w:cs="仿宋"/>
                <w:sz w:val="24"/>
                <w:szCs w:val="24"/>
              </w:rPr>
              <w:t>形式：提交疑问至邮箱1481506740@qq.com提出。</w:t>
            </w:r>
          </w:p>
          <w:p w14:paraId="25ACBD93">
            <w:pPr>
              <w:snapToGrid w:val="0"/>
              <w:jc w:val="left"/>
              <w:rPr>
                <w:rFonts w:hint="eastAsia" w:ascii="仿宋" w:hAnsi="仿宋" w:eastAsia="仿宋" w:cs="仿宋"/>
                <w:sz w:val="24"/>
                <w:szCs w:val="24"/>
              </w:rPr>
            </w:pPr>
            <w:r>
              <w:rPr>
                <w:rFonts w:hint="eastAsia" w:ascii="仿宋" w:hAnsi="仿宋" w:eastAsia="仿宋" w:cs="仿宋"/>
                <w:sz w:val="24"/>
                <w:szCs w:val="24"/>
              </w:rPr>
              <w:t>截止时间：在提交首次响应文件截止时间3日前（以收到日期为准）</w:t>
            </w:r>
          </w:p>
        </w:tc>
      </w:tr>
      <w:tr w14:paraId="2C77E436">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0A4BB26F">
            <w:pPr>
              <w:snapToGrid w:val="0"/>
              <w:jc w:val="center"/>
              <w:rPr>
                <w:rFonts w:hint="eastAsia" w:ascii="仿宋" w:hAnsi="仿宋" w:eastAsia="仿宋" w:cs="仿宋"/>
                <w:sz w:val="24"/>
                <w:szCs w:val="24"/>
              </w:rPr>
            </w:pPr>
            <w:r>
              <w:rPr>
                <w:rFonts w:hint="eastAsia" w:ascii="仿宋" w:hAnsi="仿宋" w:eastAsia="仿宋" w:cs="仿宋"/>
                <w:sz w:val="24"/>
                <w:szCs w:val="24"/>
              </w:rPr>
              <w:t>2.2.3</w:t>
            </w:r>
          </w:p>
        </w:tc>
        <w:tc>
          <w:tcPr>
            <w:tcW w:w="3118" w:type="dxa"/>
            <w:tcBorders>
              <w:top w:val="single" w:color="auto" w:sz="4" w:space="0"/>
              <w:left w:val="single" w:color="auto" w:sz="4" w:space="0"/>
              <w:bottom w:val="single" w:color="auto" w:sz="4" w:space="0"/>
              <w:right w:val="single" w:color="auto" w:sz="4" w:space="0"/>
            </w:tcBorders>
            <w:vAlign w:val="center"/>
          </w:tcPr>
          <w:p w14:paraId="053F2FCD">
            <w:pPr>
              <w:snapToGrid w:val="0"/>
              <w:jc w:val="center"/>
              <w:rPr>
                <w:rFonts w:hint="eastAsia" w:ascii="仿宋" w:hAnsi="仿宋" w:eastAsia="仿宋" w:cs="仿宋"/>
                <w:sz w:val="24"/>
                <w:szCs w:val="24"/>
              </w:rPr>
            </w:pPr>
            <w:r>
              <w:rPr>
                <w:rFonts w:hint="eastAsia" w:ascii="仿宋" w:hAnsi="仿宋" w:eastAsia="仿宋" w:cs="仿宋"/>
                <w:sz w:val="24"/>
                <w:szCs w:val="24"/>
              </w:rPr>
              <w:t>供应商确认收到采购</w:t>
            </w:r>
          </w:p>
          <w:p w14:paraId="4E1B6A34">
            <w:pPr>
              <w:snapToGrid w:val="0"/>
              <w:jc w:val="center"/>
              <w:rPr>
                <w:rFonts w:hint="eastAsia" w:ascii="仿宋" w:hAnsi="仿宋" w:eastAsia="仿宋" w:cs="仿宋"/>
                <w:sz w:val="24"/>
                <w:szCs w:val="24"/>
              </w:rPr>
            </w:pPr>
            <w:r>
              <w:rPr>
                <w:rFonts w:hint="eastAsia" w:ascii="仿宋" w:hAnsi="仿宋" w:eastAsia="仿宋" w:cs="仿宋"/>
                <w:sz w:val="24"/>
                <w:szCs w:val="24"/>
              </w:rPr>
              <w:t>文件补充文件</w:t>
            </w:r>
          </w:p>
        </w:tc>
        <w:tc>
          <w:tcPr>
            <w:tcW w:w="4675" w:type="dxa"/>
            <w:tcBorders>
              <w:top w:val="single" w:color="auto" w:sz="4" w:space="0"/>
              <w:left w:val="single" w:color="auto" w:sz="4" w:space="0"/>
              <w:bottom w:val="single" w:color="auto" w:sz="4" w:space="0"/>
              <w:right w:val="single" w:color="auto" w:sz="4" w:space="0"/>
            </w:tcBorders>
            <w:vAlign w:val="center"/>
          </w:tcPr>
          <w:p w14:paraId="18F0F853">
            <w:pPr>
              <w:snapToGrid w:val="0"/>
              <w:jc w:val="left"/>
              <w:rPr>
                <w:rFonts w:hint="eastAsia" w:ascii="仿宋" w:hAnsi="仿宋" w:eastAsia="仿宋" w:cs="仿宋"/>
                <w:sz w:val="24"/>
                <w:szCs w:val="24"/>
              </w:rPr>
            </w:pPr>
            <w:r>
              <w:rPr>
                <w:rFonts w:hint="eastAsia" w:ascii="仿宋" w:hAnsi="仿宋" w:eastAsia="仿宋" w:cs="仿宋"/>
                <w:sz w:val="24"/>
                <w:szCs w:val="24"/>
              </w:rPr>
              <w:t>采购人自行查看、下载，无需确认。</w:t>
            </w:r>
          </w:p>
        </w:tc>
      </w:tr>
      <w:tr w14:paraId="41EAB29F">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341AA370">
            <w:pPr>
              <w:snapToGrid w:val="0"/>
              <w:jc w:val="center"/>
              <w:rPr>
                <w:rFonts w:hint="eastAsia" w:ascii="仿宋" w:hAnsi="仿宋" w:eastAsia="仿宋" w:cs="仿宋"/>
                <w:sz w:val="24"/>
                <w:szCs w:val="24"/>
              </w:rPr>
            </w:pPr>
            <w:r>
              <w:rPr>
                <w:rFonts w:hint="eastAsia" w:ascii="仿宋" w:hAnsi="仿宋" w:eastAsia="仿宋" w:cs="仿宋"/>
                <w:sz w:val="24"/>
                <w:szCs w:val="24"/>
              </w:rPr>
              <w:t>3.1.3</w:t>
            </w:r>
          </w:p>
        </w:tc>
        <w:tc>
          <w:tcPr>
            <w:tcW w:w="3118" w:type="dxa"/>
            <w:tcBorders>
              <w:top w:val="single" w:color="auto" w:sz="4" w:space="0"/>
              <w:left w:val="single" w:color="auto" w:sz="4" w:space="0"/>
              <w:bottom w:val="single" w:color="auto" w:sz="4" w:space="0"/>
              <w:right w:val="single" w:color="auto" w:sz="4" w:space="0"/>
            </w:tcBorders>
            <w:vAlign w:val="center"/>
          </w:tcPr>
          <w:p w14:paraId="52CDFC5B">
            <w:pPr>
              <w:snapToGrid w:val="0"/>
              <w:jc w:val="center"/>
              <w:rPr>
                <w:rFonts w:hint="eastAsia" w:ascii="仿宋" w:hAnsi="仿宋" w:eastAsia="仿宋" w:cs="仿宋"/>
                <w:sz w:val="24"/>
                <w:szCs w:val="24"/>
              </w:rPr>
            </w:pPr>
            <w:r>
              <w:rPr>
                <w:rFonts w:hint="eastAsia" w:ascii="仿宋" w:hAnsi="仿宋" w:eastAsia="仿宋" w:cs="仿宋"/>
                <w:sz w:val="24"/>
                <w:szCs w:val="24"/>
              </w:rPr>
              <w:t>样品</w:t>
            </w:r>
          </w:p>
        </w:tc>
        <w:tc>
          <w:tcPr>
            <w:tcW w:w="4675" w:type="dxa"/>
            <w:tcBorders>
              <w:top w:val="single" w:color="auto" w:sz="4" w:space="0"/>
              <w:left w:val="single" w:color="auto" w:sz="4" w:space="0"/>
              <w:bottom w:val="single" w:color="auto" w:sz="4" w:space="0"/>
              <w:right w:val="single" w:color="auto" w:sz="4" w:space="0"/>
            </w:tcBorders>
            <w:vAlign w:val="center"/>
          </w:tcPr>
          <w:p w14:paraId="381F1E90">
            <w:pPr>
              <w:widowControl/>
              <w:adjustRightInd w:val="0"/>
              <w:snapToGrid w:val="0"/>
              <w:spacing w:line="288" w:lineRule="auto"/>
              <w:rPr>
                <w:rFonts w:hint="eastAsia" w:ascii="宋体" w:hAnsi="宋体" w:eastAsia="仿宋"/>
                <w:b/>
                <w:bCs/>
                <w:sz w:val="24"/>
              </w:rPr>
            </w:pPr>
            <w:r>
              <w:rPr>
                <w:rFonts w:hint="eastAsia" w:ascii="宋体" w:hAnsi="宋体" w:eastAsia="仿宋"/>
                <w:b/>
                <w:bCs/>
                <w:sz w:val="24"/>
              </w:rPr>
              <w:t>是否要求供应商提交样品：</w:t>
            </w:r>
          </w:p>
          <w:p w14:paraId="0E99483A">
            <w:pPr>
              <w:widowControl/>
              <w:adjustRightInd w:val="0"/>
              <w:snapToGrid w:val="0"/>
              <w:spacing w:line="288" w:lineRule="auto"/>
              <w:rPr>
                <w:rFonts w:hint="eastAsia" w:ascii="宋体" w:hAnsi="宋体" w:eastAsia="仿宋" w:cs="Calibri"/>
                <w:sz w:val="24"/>
              </w:rPr>
            </w:pPr>
            <w:r>
              <w:rPr>
                <w:rFonts w:hint="eastAsia" w:ascii="仿宋" w:hAnsi="仿宋" w:eastAsia="仿宋" w:cs="仿宋"/>
                <w:sz w:val="24"/>
                <w:szCs w:val="24"/>
              </w:rPr>
              <w:sym w:font="Wingdings 2" w:char="0052"/>
            </w:r>
            <w:r>
              <w:rPr>
                <w:rFonts w:hint="eastAsia" w:ascii="宋体" w:hAnsi="宋体" w:eastAsia="仿宋" w:cs="Calibri"/>
                <w:sz w:val="24"/>
              </w:rPr>
              <w:t>否</w:t>
            </w:r>
          </w:p>
          <w:p w14:paraId="14C3A467">
            <w:pPr>
              <w:widowControl/>
              <w:adjustRightInd w:val="0"/>
              <w:snapToGrid w:val="0"/>
              <w:spacing w:line="288" w:lineRule="auto"/>
              <w:rPr>
                <w:rFonts w:hint="eastAsia" w:ascii="楷体" w:hAnsi="楷体" w:eastAsia="仿宋" w:cs="Calibri"/>
                <w:sz w:val="24"/>
              </w:rPr>
            </w:pPr>
            <w:r>
              <w:rPr>
                <w:rFonts w:hint="eastAsia" w:ascii="宋体" w:hAnsi="宋体" w:eastAsia="仿宋" w:cs="Calibri"/>
                <w:sz w:val="24"/>
              </w:rPr>
              <w:t>□是，提交样品的具体要求</w:t>
            </w:r>
          </w:p>
        </w:tc>
      </w:tr>
      <w:tr w14:paraId="253D76AB">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176C831A">
            <w:pPr>
              <w:snapToGrid w:val="0"/>
              <w:jc w:val="center"/>
              <w:rPr>
                <w:rFonts w:hint="eastAsia" w:ascii="仿宋" w:hAnsi="仿宋" w:eastAsia="仿宋" w:cs="仿宋"/>
                <w:sz w:val="24"/>
                <w:szCs w:val="24"/>
              </w:rPr>
            </w:pPr>
            <w:r>
              <w:rPr>
                <w:rFonts w:hint="eastAsia" w:ascii="仿宋" w:hAnsi="仿宋" w:eastAsia="仿宋" w:cs="仿宋"/>
                <w:sz w:val="24"/>
                <w:szCs w:val="24"/>
              </w:rPr>
              <w:t>3.2.3</w:t>
            </w:r>
          </w:p>
        </w:tc>
        <w:tc>
          <w:tcPr>
            <w:tcW w:w="3118" w:type="dxa"/>
            <w:tcBorders>
              <w:top w:val="single" w:color="auto" w:sz="4" w:space="0"/>
              <w:left w:val="single" w:color="auto" w:sz="4" w:space="0"/>
              <w:bottom w:val="single" w:color="auto" w:sz="4" w:space="0"/>
              <w:right w:val="single" w:color="auto" w:sz="4" w:space="0"/>
            </w:tcBorders>
            <w:vAlign w:val="center"/>
          </w:tcPr>
          <w:p w14:paraId="757CAD3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最高限价或其计算方法</w:t>
            </w:r>
          </w:p>
        </w:tc>
        <w:tc>
          <w:tcPr>
            <w:tcW w:w="4675" w:type="dxa"/>
            <w:tcBorders>
              <w:top w:val="single" w:color="auto" w:sz="4" w:space="0"/>
              <w:left w:val="single" w:color="auto" w:sz="4" w:space="0"/>
              <w:bottom w:val="single" w:color="auto" w:sz="4" w:space="0"/>
              <w:right w:val="single" w:color="auto" w:sz="4" w:space="0"/>
            </w:tcBorders>
            <w:vAlign w:val="center"/>
          </w:tcPr>
          <w:p w14:paraId="41AA7826">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rPr>
              <w:t>无</w:t>
            </w:r>
          </w:p>
          <w:p w14:paraId="7A6531E3">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2" w:char="0052"/>
            </w:r>
            <w:r>
              <w:rPr>
                <w:rFonts w:hint="eastAsia" w:ascii="仿宋" w:hAnsi="仿宋" w:eastAsia="仿宋" w:cs="仿宋"/>
                <w:sz w:val="24"/>
                <w:szCs w:val="24"/>
                <w:highlight w:val="none"/>
              </w:rPr>
              <w:t>有，最高限价4万元/年，具体详见采购需求章节。（供应商所报单价（如有）及总价均不得超过本项目分项单价及总价，否则将导致响应无效）</w:t>
            </w:r>
          </w:p>
        </w:tc>
      </w:tr>
      <w:tr w14:paraId="33194E38">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253B909E">
            <w:pPr>
              <w:snapToGrid w:val="0"/>
              <w:jc w:val="center"/>
              <w:rPr>
                <w:rFonts w:hint="eastAsia" w:ascii="仿宋" w:hAnsi="仿宋" w:eastAsia="仿宋" w:cs="仿宋"/>
                <w:sz w:val="24"/>
                <w:szCs w:val="24"/>
              </w:rPr>
            </w:pPr>
            <w:r>
              <w:rPr>
                <w:rFonts w:hint="eastAsia" w:ascii="仿宋" w:hAnsi="仿宋" w:eastAsia="仿宋" w:cs="仿宋"/>
                <w:sz w:val="24"/>
                <w:szCs w:val="24"/>
              </w:rPr>
              <w:t>3.2.4</w:t>
            </w:r>
          </w:p>
        </w:tc>
        <w:tc>
          <w:tcPr>
            <w:tcW w:w="3118" w:type="dxa"/>
            <w:tcBorders>
              <w:top w:val="single" w:color="auto" w:sz="4" w:space="0"/>
              <w:left w:val="single" w:color="auto" w:sz="4" w:space="0"/>
              <w:bottom w:val="single" w:color="auto" w:sz="4" w:space="0"/>
              <w:right w:val="single" w:color="auto" w:sz="4" w:space="0"/>
            </w:tcBorders>
            <w:vAlign w:val="center"/>
          </w:tcPr>
          <w:p w14:paraId="2C8C56B1">
            <w:pPr>
              <w:snapToGrid w:val="0"/>
              <w:jc w:val="center"/>
              <w:rPr>
                <w:rFonts w:hint="eastAsia" w:ascii="仿宋" w:hAnsi="仿宋" w:eastAsia="仿宋" w:cs="仿宋"/>
                <w:sz w:val="24"/>
                <w:szCs w:val="24"/>
              </w:rPr>
            </w:pPr>
            <w:r>
              <w:rPr>
                <w:rFonts w:hint="eastAsia" w:ascii="仿宋" w:hAnsi="仿宋" w:eastAsia="仿宋" w:cs="仿宋"/>
                <w:sz w:val="24"/>
                <w:szCs w:val="24"/>
              </w:rPr>
              <w:t>报价的其他要求</w:t>
            </w:r>
          </w:p>
        </w:tc>
        <w:tc>
          <w:tcPr>
            <w:tcW w:w="4675" w:type="dxa"/>
            <w:tcBorders>
              <w:top w:val="single" w:color="auto" w:sz="4" w:space="0"/>
              <w:left w:val="single" w:color="auto" w:sz="4" w:space="0"/>
              <w:bottom w:val="single" w:color="auto" w:sz="4" w:space="0"/>
              <w:right w:val="single" w:color="auto" w:sz="4" w:space="0"/>
            </w:tcBorders>
            <w:vAlign w:val="center"/>
          </w:tcPr>
          <w:p w14:paraId="5B7A28EF">
            <w:pPr>
              <w:snapToGrid w:val="0"/>
              <w:rPr>
                <w:rFonts w:hint="eastAsia" w:ascii="仿宋" w:hAnsi="仿宋" w:eastAsia="仿宋" w:cs="仿宋"/>
                <w:sz w:val="24"/>
                <w:szCs w:val="24"/>
              </w:rPr>
            </w:pPr>
            <w:r>
              <w:rPr>
                <w:rFonts w:hint="eastAsia" w:ascii="仿宋" w:hAnsi="仿宋" w:eastAsia="仿宋" w:cs="仿宋"/>
                <w:sz w:val="24"/>
                <w:szCs w:val="24"/>
              </w:rPr>
              <w:t xml:space="preserve">（1）响应报价为供应商完成采购项目的价格，该响应报价包含了供应商为此发生的所有成本、费用、利润等为完成本项目所发生的一切费用。 </w:t>
            </w:r>
          </w:p>
          <w:p w14:paraId="22D50255">
            <w:pPr>
              <w:snapToGrid w:val="0"/>
              <w:rPr>
                <w:rFonts w:hint="eastAsia" w:ascii="仿宋" w:hAnsi="仿宋" w:eastAsia="仿宋" w:cs="仿宋"/>
                <w:sz w:val="24"/>
                <w:szCs w:val="24"/>
              </w:rPr>
            </w:pPr>
            <w:r>
              <w:rPr>
                <w:rFonts w:hint="eastAsia" w:ascii="仿宋" w:hAnsi="仿宋" w:eastAsia="仿宋" w:cs="仿宋"/>
                <w:sz w:val="24"/>
                <w:szCs w:val="24"/>
              </w:rPr>
              <w:t>（2）本项目不接受两个以上的响应报价。</w:t>
            </w:r>
          </w:p>
          <w:p w14:paraId="24A4D7F0">
            <w:pPr>
              <w:snapToGrid w:val="0"/>
            </w:pPr>
            <w:r>
              <w:rPr>
                <w:rFonts w:hint="eastAsia" w:ascii="仿宋" w:hAnsi="仿宋" w:eastAsia="仿宋" w:cs="仿宋"/>
                <w:sz w:val="24"/>
                <w:szCs w:val="24"/>
              </w:rPr>
              <w:t>（3）成交总价在合同执行过程中固定不变,不得以任何理由予以变更。</w:t>
            </w:r>
          </w:p>
        </w:tc>
      </w:tr>
      <w:tr w14:paraId="6205C395">
        <w:tblPrEx>
          <w:tblCellMar>
            <w:top w:w="0" w:type="dxa"/>
            <w:left w:w="108" w:type="dxa"/>
            <w:bottom w:w="0" w:type="dxa"/>
            <w:right w:w="108" w:type="dxa"/>
          </w:tblCellMar>
        </w:tblPrEx>
        <w:trPr>
          <w:trHeight w:val="442" w:hRule="atLeast"/>
        </w:trPr>
        <w:tc>
          <w:tcPr>
            <w:tcW w:w="1101" w:type="dxa"/>
            <w:tcBorders>
              <w:top w:val="single" w:color="auto" w:sz="4" w:space="0"/>
              <w:left w:val="single" w:color="auto" w:sz="4" w:space="0"/>
              <w:bottom w:val="single" w:color="auto" w:sz="4" w:space="0"/>
              <w:right w:val="single" w:color="auto" w:sz="4" w:space="0"/>
            </w:tcBorders>
            <w:vAlign w:val="center"/>
          </w:tcPr>
          <w:p w14:paraId="1D6C43C4">
            <w:pPr>
              <w:snapToGrid w:val="0"/>
              <w:jc w:val="center"/>
              <w:rPr>
                <w:rFonts w:hint="eastAsia" w:ascii="仿宋" w:hAnsi="仿宋" w:eastAsia="仿宋" w:cs="仿宋"/>
                <w:sz w:val="24"/>
                <w:szCs w:val="24"/>
              </w:rPr>
            </w:pPr>
            <w:r>
              <w:rPr>
                <w:rFonts w:hint="eastAsia" w:ascii="仿宋" w:hAnsi="仿宋" w:eastAsia="仿宋" w:cs="仿宋"/>
                <w:sz w:val="24"/>
                <w:szCs w:val="24"/>
              </w:rPr>
              <w:t>3.3.1</w:t>
            </w:r>
          </w:p>
        </w:tc>
        <w:tc>
          <w:tcPr>
            <w:tcW w:w="3118" w:type="dxa"/>
            <w:tcBorders>
              <w:top w:val="single" w:color="auto" w:sz="4" w:space="0"/>
              <w:left w:val="single" w:color="auto" w:sz="4" w:space="0"/>
              <w:bottom w:val="single" w:color="auto" w:sz="4" w:space="0"/>
              <w:right w:val="single" w:color="auto" w:sz="4" w:space="0"/>
            </w:tcBorders>
            <w:vAlign w:val="center"/>
          </w:tcPr>
          <w:p w14:paraId="3D8D11D0">
            <w:pPr>
              <w:snapToGrid w:val="0"/>
              <w:jc w:val="center"/>
              <w:rPr>
                <w:rFonts w:hint="eastAsia" w:ascii="仿宋" w:hAnsi="仿宋" w:eastAsia="仿宋" w:cs="仿宋"/>
                <w:sz w:val="24"/>
                <w:szCs w:val="24"/>
              </w:rPr>
            </w:pPr>
            <w:r>
              <w:rPr>
                <w:rFonts w:hint="eastAsia" w:ascii="仿宋" w:hAnsi="仿宋" w:eastAsia="仿宋" w:cs="仿宋"/>
                <w:sz w:val="24"/>
                <w:szCs w:val="24"/>
              </w:rPr>
              <w:t>响应文件有效期</w:t>
            </w:r>
          </w:p>
        </w:tc>
        <w:tc>
          <w:tcPr>
            <w:tcW w:w="4675" w:type="dxa"/>
            <w:tcBorders>
              <w:top w:val="single" w:color="auto" w:sz="4" w:space="0"/>
              <w:left w:val="single" w:color="auto" w:sz="4" w:space="0"/>
              <w:bottom w:val="single" w:color="auto" w:sz="4" w:space="0"/>
              <w:right w:val="single" w:color="auto" w:sz="4" w:space="0"/>
            </w:tcBorders>
            <w:vAlign w:val="center"/>
          </w:tcPr>
          <w:p w14:paraId="30664558">
            <w:pPr>
              <w:snapToGrid w:val="0"/>
              <w:rPr>
                <w:rFonts w:hint="eastAsia" w:ascii="仿宋" w:hAnsi="仿宋" w:eastAsia="仿宋" w:cs="仿宋"/>
                <w:sz w:val="24"/>
                <w:szCs w:val="24"/>
              </w:rPr>
            </w:pPr>
            <w:r>
              <w:rPr>
                <w:rFonts w:hint="eastAsia" w:ascii="仿宋" w:hAnsi="仿宋" w:eastAsia="仿宋" w:cs="仿宋"/>
                <w:sz w:val="24"/>
                <w:szCs w:val="24"/>
              </w:rPr>
              <w:t>90天</w:t>
            </w:r>
          </w:p>
        </w:tc>
      </w:tr>
      <w:tr w14:paraId="019FC633">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528BF381">
            <w:pPr>
              <w:snapToGrid w:val="0"/>
              <w:jc w:val="center"/>
              <w:rPr>
                <w:rFonts w:hint="eastAsia" w:ascii="仿宋" w:hAnsi="仿宋" w:eastAsia="仿宋" w:cs="仿宋"/>
                <w:sz w:val="24"/>
                <w:szCs w:val="24"/>
              </w:rPr>
            </w:pPr>
            <w:r>
              <w:rPr>
                <w:rFonts w:hint="eastAsia" w:ascii="仿宋" w:hAnsi="仿宋" w:eastAsia="仿宋" w:cs="仿宋"/>
                <w:sz w:val="24"/>
                <w:szCs w:val="24"/>
              </w:rPr>
              <w:t>3.4.1</w:t>
            </w:r>
          </w:p>
        </w:tc>
        <w:tc>
          <w:tcPr>
            <w:tcW w:w="3118" w:type="dxa"/>
            <w:tcBorders>
              <w:top w:val="single" w:color="auto" w:sz="4" w:space="0"/>
              <w:left w:val="single" w:color="auto" w:sz="4" w:space="0"/>
              <w:bottom w:val="single" w:color="auto" w:sz="4" w:space="0"/>
              <w:right w:val="single" w:color="auto" w:sz="4" w:space="0"/>
            </w:tcBorders>
            <w:vAlign w:val="center"/>
          </w:tcPr>
          <w:p w14:paraId="1A8AF5AC">
            <w:pPr>
              <w:snapToGrid w:val="0"/>
              <w:jc w:val="center"/>
              <w:rPr>
                <w:rFonts w:hint="eastAsia" w:ascii="仿宋" w:hAnsi="仿宋" w:eastAsia="仿宋" w:cs="仿宋"/>
                <w:sz w:val="24"/>
                <w:szCs w:val="24"/>
              </w:rPr>
            </w:pPr>
            <w:r>
              <w:rPr>
                <w:rFonts w:hint="eastAsia" w:ascii="仿宋" w:hAnsi="仿宋" w:eastAsia="仿宋" w:cs="仿宋"/>
                <w:sz w:val="24"/>
                <w:szCs w:val="24"/>
              </w:rPr>
              <w:t>响应保证金</w:t>
            </w:r>
          </w:p>
        </w:tc>
        <w:tc>
          <w:tcPr>
            <w:tcW w:w="4675" w:type="dxa"/>
            <w:tcBorders>
              <w:top w:val="single" w:color="auto" w:sz="4" w:space="0"/>
              <w:left w:val="single" w:color="auto" w:sz="4" w:space="0"/>
              <w:bottom w:val="single" w:color="auto" w:sz="4" w:space="0"/>
              <w:right w:val="single" w:color="auto" w:sz="4" w:space="0"/>
            </w:tcBorders>
            <w:vAlign w:val="center"/>
          </w:tcPr>
          <w:p w14:paraId="772B2BE3">
            <w:pPr>
              <w:pStyle w:val="10"/>
              <w:topLinePunct/>
              <w:spacing w:line="400" w:lineRule="exact"/>
              <w:jc w:val="left"/>
              <w:rPr>
                <w:rFonts w:hint="eastAsia" w:ascii="仿宋" w:hAnsi="仿宋" w:eastAsia="仿宋" w:cs="仿宋"/>
                <w:szCs w:val="24"/>
                <w:highlight w:val="none"/>
              </w:rPr>
            </w:pPr>
            <w:r>
              <w:rPr>
                <w:rFonts w:hint="eastAsia" w:ascii="仿宋" w:hAnsi="仿宋" w:eastAsia="仿宋" w:cs="仿宋"/>
                <w:szCs w:val="24"/>
                <w:highlight w:val="none"/>
              </w:rPr>
              <w:t>是否要求供应商递交响应保证金：</w:t>
            </w:r>
          </w:p>
          <w:p w14:paraId="15692875">
            <w:pPr>
              <w:pStyle w:val="10"/>
              <w:topLinePunct/>
              <w:spacing w:line="400" w:lineRule="exact"/>
              <w:jc w:val="left"/>
              <w:rPr>
                <w:rFonts w:hint="eastAsia" w:ascii="仿宋" w:hAnsi="仿宋" w:eastAsia="仿宋" w:cs="仿宋"/>
                <w:szCs w:val="24"/>
                <w:highlight w:val="none"/>
              </w:rPr>
            </w:pPr>
            <w:r>
              <w:rPr>
                <w:rFonts w:ascii="Times New Roman" w:hAnsi="Times New Roman" w:eastAsia="仿宋"/>
                <w:szCs w:val="24"/>
                <w:highlight w:val="none"/>
              </w:rPr>
              <w:sym w:font="Wingdings 2" w:char="0052"/>
            </w:r>
            <w:r>
              <w:rPr>
                <w:rFonts w:hint="eastAsia" w:ascii="仿宋" w:hAnsi="仿宋" w:eastAsia="仿宋" w:cs="仿宋"/>
                <w:szCs w:val="24"/>
                <w:highlight w:val="none"/>
              </w:rPr>
              <w:t>不要求</w:t>
            </w:r>
          </w:p>
          <w:p w14:paraId="4172633D">
            <w:pPr>
              <w:pStyle w:val="10"/>
              <w:topLinePunct/>
              <w:spacing w:line="400" w:lineRule="exact"/>
              <w:jc w:val="left"/>
              <w:rPr>
                <w:rFonts w:hint="eastAsia" w:ascii="仿宋" w:hAnsi="仿宋" w:eastAsia="仿宋" w:cs="仿宋"/>
                <w:szCs w:val="24"/>
              </w:rPr>
            </w:pPr>
            <w:r>
              <w:rPr>
                <w:rFonts w:hint="eastAsia" w:ascii="仿宋" w:hAnsi="仿宋" w:eastAsia="仿宋" w:cs="仿宋"/>
                <w:szCs w:val="24"/>
              </w:rPr>
              <w:t>□要求</w:t>
            </w:r>
          </w:p>
        </w:tc>
      </w:tr>
      <w:tr w14:paraId="7294E1C0">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341242AE">
            <w:pPr>
              <w:snapToGrid w:val="0"/>
              <w:jc w:val="center"/>
              <w:rPr>
                <w:rFonts w:hint="eastAsia" w:ascii="仿宋" w:hAnsi="仿宋" w:eastAsia="仿宋" w:cs="仿宋"/>
                <w:sz w:val="24"/>
                <w:szCs w:val="24"/>
              </w:rPr>
            </w:pPr>
            <w:r>
              <w:rPr>
                <w:rFonts w:hint="eastAsia" w:ascii="仿宋" w:hAnsi="仿宋" w:eastAsia="仿宋" w:cs="仿宋"/>
                <w:sz w:val="24"/>
                <w:szCs w:val="24"/>
              </w:rPr>
              <w:t>3.4.3（3）</w:t>
            </w:r>
          </w:p>
        </w:tc>
        <w:tc>
          <w:tcPr>
            <w:tcW w:w="3118" w:type="dxa"/>
            <w:tcBorders>
              <w:top w:val="single" w:color="auto" w:sz="4" w:space="0"/>
              <w:left w:val="single" w:color="auto" w:sz="4" w:space="0"/>
              <w:bottom w:val="single" w:color="auto" w:sz="4" w:space="0"/>
              <w:right w:val="single" w:color="auto" w:sz="4" w:space="0"/>
            </w:tcBorders>
            <w:vAlign w:val="center"/>
          </w:tcPr>
          <w:p w14:paraId="7CD50CCC">
            <w:pPr>
              <w:snapToGrid w:val="0"/>
              <w:jc w:val="center"/>
              <w:rPr>
                <w:rFonts w:hint="eastAsia" w:ascii="仿宋" w:hAnsi="仿宋" w:eastAsia="仿宋" w:cs="仿宋"/>
                <w:sz w:val="24"/>
                <w:szCs w:val="24"/>
              </w:rPr>
            </w:pPr>
            <w:r>
              <w:rPr>
                <w:rFonts w:hint="eastAsia" w:ascii="仿宋" w:hAnsi="仿宋" w:eastAsia="仿宋" w:cs="仿宋"/>
                <w:sz w:val="24"/>
                <w:szCs w:val="24"/>
              </w:rPr>
              <w:t>不退还响应保证金的其他情形</w:t>
            </w:r>
          </w:p>
        </w:tc>
        <w:tc>
          <w:tcPr>
            <w:tcW w:w="4675" w:type="dxa"/>
            <w:tcBorders>
              <w:top w:val="single" w:color="auto" w:sz="4" w:space="0"/>
              <w:left w:val="single" w:color="auto" w:sz="4" w:space="0"/>
              <w:bottom w:val="single" w:color="auto" w:sz="4" w:space="0"/>
              <w:right w:val="single" w:color="auto" w:sz="4" w:space="0"/>
            </w:tcBorders>
            <w:vAlign w:val="center"/>
          </w:tcPr>
          <w:p w14:paraId="1227DF9D">
            <w:pPr>
              <w:topLinePunct/>
              <w:snapToGrid w:val="0"/>
              <w:jc w:val="left"/>
              <w:rPr>
                <w:rFonts w:hint="eastAsia" w:ascii="仿宋" w:hAnsi="仿宋" w:eastAsia="仿宋" w:cs="仿宋"/>
                <w:sz w:val="24"/>
                <w:szCs w:val="24"/>
              </w:rPr>
            </w:pPr>
            <w:r>
              <w:rPr>
                <w:rFonts w:hint="eastAsia" w:ascii="仿宋" w:hAnsi="仿宋" w:eastAsia="仿宋" w:cs="仿宋"/>
                <w:sz w:val="24"/>
                <w:szCs w:val="24"/>
              </w:rPr>
              <w:t>/</w:t>
            </w:r>
          </w:p>
        </w:tc>
      </w:tr>
      <w:tr w14:paraId="44256159">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761D2159">
            <w:pPr>
              <w:snapToGrid w:val="0"/>
              <w:jc w:val="center"/>
              <w:rPr>
                <w:rFonts w:hint="eastAsia" w:ascii="仿宋" w:hAnsi="仿宋" w:eastAsia="仿宋" w:cs="仿宋"/>
                <w:sz w:val="24"/>
                <w:szCs w:val="24"/>
              </w:rPr>
            </w:pPr>
            <w:r>
              <w:rPr>
                <w:rFonts w:ascii="仿宋" w:hAnsi="仿宋" w:eastAsia="仿宋" w:cs="仿宋"/>
                <w:sz w:val="24"/>
                <w:szCs w:val="24"/>
              </w:rPr>
              <w:t>3.7.3（A）</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p>
        </w:tc>
        <w:tc>
          <w:tcPr>
            <w:tcW w:w="3118" w:type="dxa"/>
            <w:tcBorders>
              <w:top w:val="single" w:color="auto" w:sz="4" w:space="0"/>
              <w:left w:val="single" w:color="auto" w:sz="4" w:space="0"/>
              <w:bottom w:val="single" w:color="auto" w:sz="4" w:space="0"/>
              <w:right w:val="single" w:color="auto" w:sz="4" w:space="0"/>
            </w:tcBorders>
            <w:vAlign w:val="center"/>
          </w:tcPr>
          <w:p w14:paraId="6F05BB67">
            <w:pPr>
              <w:snapToGrid w:val="0"/>
              <w:jc w:val="left"/>
              <w:rPr>
                <w:rFonts w:hint="eastAsia" w:ascii="仿宋" w:hAnsi="仿宋" w:eastAsia="仿宋" w:cs="仿宋"/>
                <w:sz w:val="24"/>
                <w:szCs w:val="24"/>
              </w:rPr>
            </w:pPr>
            <w:r>
              <w:rPr>
                <w:rFonts w:hint="eastAsia" w:ascii="仿宋" w:hAnsi="仿宋" w:eastAsia="仿宋" w:cs="仿宋"/>
                <w:sz w:val="24"/>
                <w:szCs w:val="24"/>
              </w:rPr>
              <w:t>响应文件副本份数及其他要求</w:t>
            </w:r>
          </w:p>
        </w:tc>
        <w:tc>
          <w:tcPr>
            <w:tcW w:w="4675" w:type="dxa"/>
            <w:tcBorders>
              <w:top w:val="single" w:color="auto" w:sz="4" w:space="0"/>
              <w:left w:val="single" w:color="auto" w:sz="4" w:space="0"/>
              <w:bottom w:val="single" w:color="auto" w:sz="4" w:space="0"/>
              <w:right w:val="single" w:color="auto" w:sz="4" w:space="0"/>
            </w:tcBorders>
            <w:vAlign w:val="center"/>
          </w:tcPr>
          <w:p w14:paraId="79B2F9F4">
            <w:pPr>
              <w:autoSpaceDE w:val="0"/>
              <w:autoSpaceDN w:val="0"/>
              <w:adjustRightInd w:val="0"/>
              <w:spacing w:before="44" w:line="292" w:lineRule="auto"/>
              <w:ind w:right="34"/>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（1）响应文件份数：</w:t>
            </w:r>
            <w:r>
              <w:rPr>
                <w:rFonts w:hint="eastAsia" w:ascii="仿宋" w:hAnsi="仿宋" w:eastAsia="仿宋" w:cs="仿宋"/>
                <w:b/>
                <w:bCs/>
                <w:sz w:val="24"/>
                <w:szCs w:val="24"/>
                <w:highlight w:val="none"/>
              </w:rPr>
              <w:t>正本一份，副本二份。</w:t>
            </w:r>
          </w:p>
          <w:p w14:paraId="5B95FD93">
            <w:pPr>
              <w:autoSpaceDE w:val="0"/>
              <w:autoSpaceDN w:val="0"/>
              <w:adjustRightInd w:val="0"/>
              <w:spacing w:before="44" w:line="292" w:lineRule="auto"/>
              <w:ind w:right="34"/>
              <w:jc w:val="left"/>
              <w:rPr>
                <w:rFonts w:hint="eastAsia" w:ascii="仿宋" w:hAnsi="仿宋" w:eastAsia="仿宋" w:cs="仿宋"/>
                <w:sz w:val="24"/>
                <w:szCs w:val="24"/>
              </w:rPr>
            </w:pPr>
            <w:r>
              <w:rPr>
                <w:rFonts w:hint="eastAsia" w:ascii="仿宋" w:hAnsi="仿宋" w:eastAsia="仿宋" w:cs="仿宋"/>
                <w:sz w:val="24"/>
                <w:szCs w:val="24"/>
              </w:rPr>
              <w:t>（2）是否要求提交电子版响应文件：供应商提交的响应文件电子文件一份，</w:t>
            </w:r>
            <w:r>
              <w:rPr>
                <w:rFonts w:hint="eastAsia" w:ascii="仿宋" w:hAnsi="仿宋" w:eastAsia="仿宋" w:cs="仿宋"/>
                <w:b/>
                <w:bCs/>
                <w:sz w:val="24"/>
                <w:szCs w:val="24"/>
              </w:rPr>
              <w:t>采用U盘的形式</w:t>
            </w:r>
            <w:r>
              <w:rPr>
                <w:rFonts w:hint="eastAsia" w:ascii="仿宋" w:hAnsi="仿宋" w:eastAsia="仿宋" w:cs="仿宋"/>
                <w:sz w:val="24"/>
                <w:szCs w:val="24"/>
              </w:rPr>
              <w:t>，可随响应文件一起密封提供，或单独提供。无论是否提交电子版响应文件，均不影响其响应文件的有效性。</w:t>
            </w:r>
          </w:p>
          <w:p w14:paraId="36F91A44">
            <w:pPr>
              <w:autoSpaceDE w:val="0"/>
              <w:autoSpaceDN w:val="0"/>
              <w:adjustRightInd w:val="0"/>
              <w:spacing w:before="44" w:line="292" w:lineRule="auto"/>
              <w:ind w:right="34"/>
              <w:jc w:val="left"/>
              <w:rPr>
                <w:rFonts w:hint="eastAsia" w:ascii="仿宋" w:hAnsi="仿宋" w:eastAsia="仿宋" w:cs="仿宋"/>
                <w:sz w:val="24"/>
                <w:szCs w:val="24"/>
              </w:rPr>
            </w:pPr>
            <w:r>
              <w:rPr>
                <w:rFonts w:hint="eastAsia" w:ascii="仿宋" w:hAnsi="仿宋" w:eastAsia="仿宋" w:cs="仿宋"/>
                <w:sz w:val="24"/>
                <w:szCs w:val="24"/>
              </w:rPr>
              <w:t>（3）其他要求：响应文件的正本与副本应分别装订，响应文件的装订应牢固、不易拆散和换页。</w:t>
            </w:r>
          </w:p>
        </w:tc>
      </w:tr>
      <w:tr w14:paraId="2DB8F71C">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0DB6E0E9">
            <w:pPr>
              <w:snapToGrid w:val="0"/>
              <w:jc w:val="center"/>
              <w:rPr>
                <w:rFonts w:hint="eastAsia" w:ascii="仿宋" w:hAnsi="仿宋" w:eastAsia="仿宋" w:cs="仿宋"/>
                <w:sz w:val="24"/>
                <w:szCs w:val="24"/>
              </w:rPr>
            </w:pPr>
            <w:r>
              <w:rPr>
                <w:rFonts w:ascii="仿宋" w:hAnsi="仿宋" w:eastAsia="仿宋" w:cs="仿宋"/>
                <w:sz w:val="24"/>
                <w:szCs w:val="24"/>
              </w:rPr>
              <w:t>3.7.3（A）</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p>
        </w:tc>
        <w:tc>
          <w:tcPr>
            <w:tcW w:w="3118" w:type="dxa"/>
            <w:tcBorders>
              <w:top w:val="single" w:color="auto" w:sz="4" w:space="0"/>
              <w:left w:val="single" w:color="auto" w:sz="4" w:space="0"/>
              <w:bottom w:val="single" w:color="auto" w:sz="4" w:space="0"/>
              <w:right w:val="single" w:color="auto" w:sz="4" w:space="0"/>
            </w:tcBorders>
            <w:vAlign w:val="center"/>
          </w:tcPr>
          <w:p w14:paraId="5D7ACF7D">
            <w:pPr>
              <w:snapToGrid w:val="0"/>
              <w:jc w:val="left"/>
              <w:rPr>
                <w:rFonts w:hint="eastAsia" w:ascii="仿宋" w:hAnsi="仿宋" w:eastAsia="仿宋" w:cs="仿宋"/>
                <w:sz w:val="24"/>
                <w:szCs w:val="24"/>
              </w:rPr>
            </w:pPr>
            <w:r>
              <w:rPr>
                <w:rFonts w:hint="eastAsia" w:ascii="仿宋" w:hAnsi="仿宋" w:eastAsia="仿宋" w:cs="仿宋"/>
                <w:sz w:val="24"/>
                <w:szCs w:val="24"/>
              </w:rPr>
              <w:t>响应文件是否需分册装订</w:t>
            </w:r>
          </w:p>
        </w:tc>
        <w:tc>
          <w:tcPr>
            <w:tcW w:w="4675" w:type="dxa"/>
            <w:tcBorders>
              <w:top w:val="single" w:color="auto" w:sz="4" w:space="0"/>
              <w:left w:val="single" w:color="auto" w:sz="4" w:space="0"/>
              <w:bottom w:val="single" w:color="auto" w:sz="4" w:space="0"/>
              <w:right w:val="single" w:color="auto" w:sz="4" w:space="0"/>
            </w:tcBorders>
            <w:vAlign w:val="center"/>
          </w:tcPr>
          <w:p w14:paraId="0FCDEB02">
            <w:pPr>
              <w:topLinePunct/>
              <w:snapToGrid w:val="0"/>
              <w:jc w:val="left"/>
              <w:rPr>
                <w:rFonts w:hint="eastAsia"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不需要</w:t>
            </w:r>
          </w:p>
          <w:p w14:paraId="5EB478E8">
            <w:pPr>
              <w:topLinePunct/>
              <w:snapToGrid w:val="0"/>
              <w:jc w:val="left"/>
              <w:rPr>
                <w:rFonts w:hint="eastAsia"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需要，分册装订要求：</w:t>
            </w:r>
          </w:p>
          <w:p w14:paraId="10E80B1C">
            <w:pPr>
              <w:topLinePunct/>
              <w:snapToGrid w:val="0"/>
              <w:jc w:val="left"/>
              <w:rPr>
                <w:rFonts w:hint="eastAsia" w:ascii="仿宋" w:hAnsi="仿宋" w:eastAsia="仿宋" w:cs="仿宋"/>
                <w:sz w:val="24"/>
                <w:szCs w:val="24"/>
              </w:rPr>
            </w:pPr>
            <w:r>
              <w:rPr>
                <w:rFonts w:ascii="Times New Roman" w:hAnsi="Times New Roman" w:eastAsia="仿宋"/>
                <w:sz w:val="24"/>
                <w:szCs w:val="24"/>
              </w:rPr>
              <w:sym w:font="Wingdings 2" w:char="0052"/>
            </w:r>
            <w:r>
              <w:rPr>
                <w:rFonts w:ascii="Times New Roman" w:hAnsi="Times New Roman" w:eastAsia="仿宋"/>
                <w:sz w:val="24"/>
                <w:szCs w:val="24"/>
              </w:rPr>
              <w:t>由供应商自行决定是否</w:t>
            </w:r>
            <w:r>
              <w:rPr>
                <w:rFonts w:hint="eastAsia" w:ascii="仿宋" w:hAnsi="仿宋" w:eastAsia="仿宋" w:cs="仿宋"/>
                <w:sz w:val="24"/>
                <w:szCs w:val="24"/>
              </w:rPr>
              <w:t>分册装订</w:t>
            </w:r>
            <w:r>
              <w:rPr>
                <w:rFonts w:ascii="Times New Roman" w:hAnsi="Times New Roman" w:eastAsia="仿宋"/>
                <w:sz w:val="24"/>
                <w:szCs w:val="24"/>
              </w:rPr>
              <w:t>。</w:t>
            </w:r>
          </w:p>
        </w:tc>
      </w:tr>
      <w:tr w14:paraId="7B2C819C">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3539E282">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3.7.4（B</w:t>
            </w:r>
            <w:r>
              <w:rPr>
                <w:rFonts w:ascii="仿宋" w:hAnsi="仿宋" w:eastAsia="仿宋" w:cs="仿宋"/>
                <w:sz w:val="24"/>
                <w:szCs w:val="24"/>
              </w:rPr>
              <w:t>）</w:t>
            </w:r>
          </w:p>
        </w:tc>
        <w:tc>
          <w:tcPr>
            <w:tcW w:w="3118" w:type="dxa"/>
            <w:tcBorders>
              <w:top w:val="single" w:color="auto" w:sz="4" w:space="0"/>
              <w:left w:val="single" w:color="auto" w:sz="4" w:space="0"/>
              <w:bottom w:val="single" w:color="auto" w:sz="4" w:space="0"/>
              <w:right w:val="single" w:color="auto" w:sz="4" w:space="0"/>
            </w:tcBorders>
            <w:vAlign w:val="center"/>
          </w:tcPr>
          <w:p w14:paraId="31A3B991">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非加密响应文件递交</w:t>
            </w:r>
          </w:p>
          <w:p w14:paraId="0A5272F6">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（本项目不适用）</w:t>
            </w:r>
          </w:p>
        </w:tc>
        <w:tc>
          <w:tcPr>
            <w:tcW w:w="4675" w:type="dxa"/>
            <w:tcBorders>
              <w:top w:val="single" w:color="auto" w:sz="4" w:space="0"/>
              <w:left w:val="single" w:color="auto" w:sz="4" w:space="0"/>
              <w:bottom w:val="single" w:color="auto" w:sz="4" w:space="0"/>
              <w:right w:val="single" w:color="auto" w:sz="4" w:space="0"/>
            </w:tcBorders>
            <w:vAlign w:val="center"/>
          </w:tcPr>
          <w:p w14:paraId="7AF41002">
            <w:pPr>
              <w:pStyle w:val="59"/>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w:t>
            </w:r>
          </w:p>
        </w:tc>
      </w:tr>
      <w:tr w14:paraId="67EF236E">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2C729A6D">
            <w:pPr>
              <w:snapToGrid w:val="0"/>
              <w:spacing w:line="360" w:lineRule="auto"/>
              <w:jc w:val="center"/>
              <w:rPr>
                <w:rFonts w:hint="eastAsia" w:ascii="仿宋" w:hAnsi="仿宋" w:eastAsia="仿宋" w:cs="仿宋"/>
                <w:sz w:val="24"/>
                <w:szCs w:val="24"/>
              </w:rPr>
            </w:pPr>
            <w:r>
              <w:rPr>
                <w:rFonts w:ascii="仿宋" w:hAnsi="仿宋" w:eastAsia="仿宋" w:cs="仿宋"/>
                <w:sz w:val="24"/>
                <w:szCs w:val="24"/>
              </w:rPr>
              <w:t>4.1.</w:t>
            </w:r>
            <w:r>
              <w:rPr>
                <w:rFonts w:hint="eastAsia" w:ascii="仿宋" w:hAnsi="仿宋" w:eastAsia="仿宋" w:cs="仿宋"/>
                <w:sz w:val="24"/>
                <w:szCs w:val="24"/>
              </w:rPr>
              <w:t>1（A）</w:t>
            </w:r>
          </w:p>
        </w:tc>
        <w:tc>
          <w:tcPr>
            <w:tcW w:w="3118" w:type="dxa"/>
            <w:tcBorders>
              <w:top w:val="single" w:color="auto" w:sz="4" w:space="0"/>
              <w:left w:val="single" w:color="auto" w:sz="4" w:space="0"/>
              <w:bottom w:val="single" w:color="auto" w:sz="4" w:space="0"/>
              <w:right w:val="single" w:color="auto" w:sz="4" w:space="0"/>
            </w:tcBorders>
            <w:vAlign w:val="center"/>
          </w:tcPr>
          <w:p w14:paraId="65FB75AB">
            <w:pPr>
              <w:snapToGrid w:val="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响应文件封套上应载明的内容</w:t>
            </w:r>
          </w:p>
        </w:tc>
        <w:tc>
          <w:tcPr>
            <w:tcW w:w="4675" w:type="dxa"/>
            <w:tcBorders>
              <w:top w:val="single" w:color="auto" w:sz="4" w:space="0"/>
              <w:left w:val="single" w:color="auto" w:sz="4" w:space="0"/>
              <w:bottom w:val="single" w:color="auto" w:sz="4" w:space="0"/>
              <w:right w:val="single" w:color="auto" w:sz="4" w:space="0"/>
            </w:tcBorders>
            <w:vAlign w:val="center"/>
          </w:tcPr>
          <w:p w14:paraId="2DD53D30">
            <w:pPr>
              <w:pStyle w:val="59"/>
              <w:spacing w:line="360" w:lineRule="auto"/>
              <w:ind w:firstLine="34" w:firstLineChars="14"/>
              <w:rPr>
                <w:rFonts w:ascii="Times New Roman" w:hAnsi="Times New Roman" w:eastAsia="仿宋"/>
                <w:b/>
                <w:bCs/>
                <w:sz w:val="24"/>
                <w:szCs w:val="24"/>
              </w:rPr>
            </w:pPr>
            <w:r>
              <w:rPr>
                <w:rFonts w:hint="eastAsia" w:ascii="Times New Roman" w:hAnsi="Times New Roman" w:eastAsia="仿宋"/>
                <w:b/>
                <w:bCs/>
                <w:sz w:val="24"/>
                <w:szCs w:val="24"/>
              </w:rPr>
              <w:t>供应商名称：</w:t>
            </w:r>
            <w:r>
              <w:rPr>
                <w:rFonts w:hint="eastAsia" w:ascii="Times New Roman" w:hAnsi="Times New Roman" w:eastAsia="仿宋"/>
                <w:b/>
                <w:bCs/>
                <w:sz w:val="24"/>
                <w:szCs w:val="24"/>
                <w:u w:val="single"/>
              </w:rPr>
              <w:t xml:space="preserve">      </w:t>
            </w:r>
          </w:p>
          <w:p w14:paraId="31FB42CA">
            <w:pPr>
              <w:pStyle w:val="59"/>
              <w:spacing w:line="360" w:lineRule="auto"/>
              <w:ind w:firstLine="34" w:firstLineChars="14"/>
              <w:rPr>
                <w:rFonts w:ascii="Times New Roman" w:hAnsi="Times New Roman" w:eastAsia="仿宋"/>
                <w:b/>
                <w:bCs/>
                <w:sz w:val="24"/>
                <w:szCs w:val="24"/>
              </w:rPr>
            </w:pPr>
            <w:r>
              <w:rPr>
                <w:rFonts w:hint="eastAsia" w:ascii="Times New Roman" w:hAnsi="Times New Roman" w:eastAsia="仿宋"/>
                <w:b/>
                <w:bCs/>
                <w:sz w:val="24"/>
                <w:szCs w:val="24"/>
                <w:u w:val="single"/>
              </w:rPr>
              <w:t xml:space="preserve">（项目名称）        </w:t>
            </w:r>
            <w:r>
              <w:rPr>
                <w:rFonts w:hint="eastAsia" w:ascii="Times New Roman" w:hAnsi="Times New Roman" w:eastAsia="仿宋"/>
                <w:b/>
                <w:bCs/>
                <w:sz w:val="24"/>
                <w:szCs w:val="24"/>
              </w:rPr>
              <w:t>响应文件</w:t>
            </w:r>
          </w:p>
          <w:p w14:paraId="52C47ABF">
            <w:pPr>
              <w:pStyle w:val="59"/>
              <w:spacing w:line="360" w:lineRule="auto"/>
              <w:ind w:firstLine="0" w:firstLineChars="0"/>
              <w:jc w:val="left"/>
              <w:rPr>
                <w:rFonts w:hint="eastAsia" w:ascii="仿宋" w:hAnsi="仿宋" w:eastAsia="仿宋" w:cs="仿宋"/>
                <w:b/>
                <w:bCs/>
                <w:sz w:val="24"/>
                <w:szCs w:val="24"/>
              </w:rPr>
            </w:pPr>
            <w:r>
              <w:rPr>
                <w:rFonts w:hint="eastAsia" w:ascii="Times New Roman" w:hAnsi="Times New Roman" w:eastAsia="仿宋"/>
                <w:b/>
                <w:bCs/>
                <w:sz w:val="24"/>
                <w:szCs w:val="24"/>
              </w:rPr>
              <w:t>在</w:t>
            </w:r>
            <w:r>
              <w:rPr>
                <w:rFonts w:hint="eastAsia" w:ascii="Times New Roman" w:hAnsi="Times New Roman" w:eastAsia="仿宋"/>
                <w:b/>
                <w:bCs/>
                <w:sz w:val="24"/>
                <w:szCs w:val="24"/>
                <w:u w:val="single"/>
              </w:rPr>
              <w:t xml:space="preserve">    </w:t>
            </w:r>
            <w:r>
              <w:rPr>
                <w:rFonts w:hint="eastAsia" w:ascii="Times New Roman" w:hAnsi="Times New Roman" w:eastAsia="仿宋"/>
                <w:b/>
                <w:bCs/>
                <w:sz w:val="24"/>
                <w:szCs w:val="24"/>
              </w:rPr>
              <w:t>年</w:t>
            </w:r>
            <w:r>
              <w:rPr>
                <w:rFonts w:hint="eastAsia" w:ascii="Times New Roman" w:hAnsi="Times New Roman" w:eastAsia="仿宋"/>
                <w:b/>
                <w:bCs/>
                <w:sz w:val="24"/>
                <w:szCs w:val="24"/>
                <w:u w:val="single"/>
              </w:rPr>
              <w:t xml:space="preserve">   </w:t>
            </w:r>
            <w:r>
              <w:rPr>
                <w:rFonts w:hint="eastAsia" w:ascii="Times New Roman" w:hAnsi="Times New Roman" w:eastAsia="仿宋"/>
                <w:b/>
                <w:bCs/>
                <w:sz w:val="24"/>
                <w:szCs w:val="24"/>
              </w:rPr>
              <w:t>月</w:t>
            </w:r>
            <w:r>
              <w:rPr>
                <w:rFonts w:hint="eastAsia" w:ascii="Times New Roman" w:hAnsi="Times New Roman" w:eastAsia="仿宋"/>
                <w:b/>
                <w:bCs/>
                <w:sz w:val="24"/>
                <w:szCs w:val="24"/>
                <w:u w:val="single"/>
              </w:rPr>
              <w:t xml:space="preserve">   </w:t>
            </w:r>
            <w:r>
              <w:rPr>
                <w:rFonts w:hint="eastAsia" w:ascii="Times New Roman" w:hAnsi="Times New Roman" w:eastAsia="仿宋"/>
                <w:b/>
                <w:bCs/>
                <w:sz w:val="24"/>
                <w:szCs w:val="24"/>
              </w:rPr>
              <w:t>日</w:t>
            </w:r>
            <w:r>
              <w:rPr>
                <w:rFonts w:hint="eastAsia" w:ascii="Times New Roman" w:hAnsi="Times New Roman" w:eastAsia="仿宋"/>
                <w:b/>
                <w:bCs/>
                <w:sz w:val="24"/>
                <w:szCs w:val="24"/>
                <w:u w:val="single"/>
              </w:rPr>
              <w:t xml:space="preserve">   </w:t>
            </w:r>
            <w:r>
              <w:rPr>
                <w:rFonts w:hint="eastAsia" w:ascii="Times New Roman" w:hAnsi="Times New Roman" w:eastAsia="仿宋"/>
                <w:b/>
                <w:bCs/>
                <w:sz w:val="24"/>
                <w:szCs w:val="24"/>
              </w:rPr>
              <w:t>时</w:t>
            </w:r>
            <w:r>
              <w:rPr>
                <w:rFonts w:hint="eastAsia" w:ascii="Times New Roman" w:hAnsi="Times New Roman" w:eastAsia="仿宋"/>
                <w:b/>
                <w:bCs/>
                <w:sz w:val="24"/>
                <w:szCs w:val="24"/>
                <w:u w:val="single"/>
              </w:rPr>
              <w:t xml:space="preserve">   </w:t>
            </w:r>
            <w:r>
              <w:rPr>
                <w:rFonts w:hint="eastAsia" w:ascii="Times New Roman" w:hAnsi="Times New Roman" w:eastAsia="仿宋"/>
                <w:b/>
                <w:bCs/>
                <w:sz w:val="24"/>
                <w:szCs w:val="24"/>
              </w:rPr>
              <w:t>分前不得开启</w:t>
            </w:r>
          </w:p>
        </w:tc>
      </w:tr>
      <w:tr w14:paraId="230E7CAB">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3779276D">
            <w:pPr>
              <w:pStyle w:val="59"/>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4.1.2（B</w:t>
            </w:r>
            <w:r>
              <w:rPr>
                <w:rFonts w:ascii="仿宋" w:hAnsi="仿宋" w:eastAsia="仿宋" w:cs="仿宋"/>
                <w:sz w:val="24"/>
                <w:szCs w:val="24"/>
              </w:rPr>
              <w:t>）</w:t>
            </w:r>
          </w:p>
        </w:tc>
        <w:tc>
          <w:tcPr>
            <w:tcW w:w="3118" w:type="dxa"/>
            <w:tcBorders>
              <w:top w:val="single" w:color="auto" w:sz="4" w:space="0"/>
              <w:left w:val="single" w:color="auto" w:sz="4" w:space="0"/>
              <w:bottom w:val="single" w:color="auto" w:sz="4" w:space="0"/>
              <w:right w:val="single" w:color="auto" w:sz="4" w:space="0"/>
            </w:tcBorders>
            <w:vAlign w:val="center"/>
          </w:tcPr>
          <w:p w14:paraId="1E0A6133">
            <w:pPr>
              <w:pStyle w:val="59"/>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非加密响应文件封套上应载明的内容</w:t>
            </w:r>
          </w:p>
          <w:p w14:paraId="4A4C3AEC">
            <w:pPr>
              <w:pStyle w:val="59"/>
              <w:spacing w:line="36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（本项目不适用）</w:t>
            </w:r>
          </w:p>
        </w:tc>
        <w:tc>
          <w:tcPr>
            <w:tcW w:w="4675" w:type="dxa"/>
            <w:tcBorders>
              <w:top w:val="single" w:color="auto" w:sz="4" w:space="0"/>
              <w:left w:val="single" w:color="auto" w:sz="4" w:space="0"/>
              <w:bottom w:val="single" w:color="auto" w:sz="4" w:space="0"/>
              <w:right w:val="single" w:color="auto" w:sz="4" w:space="0"/>
            </w:tcBorders>
            <w:vAlign w:val="center"/>
          </w:tcPr>
          <w:p w14:paraId="79DBAA09">
            <w:pPr>
              <w:pStyle w:val="59"/>
              <w:spacing w:line="360" w:lineRule="auto"/>
              <w:ind w:firstLine="33" w:firstLineChars="14"/>
              <w:rPr>
                <w:rFonts w:hint="eastAsia" w:ascii="仿宋" w:hAnsi="仿宋" w:eastAsia="仿宋" w:cs="仿宋"/>
                <w:sz w:val="24"/>
                <w:szCs w:val="24"/>
              </w:rPr>
            </w:pPr>
            <w:r>
              <w:rPr>
                <w:rFonts w:hint="eastAsia" w:ascii="Times New Roman" w:hAnsi="Times New Roman" w:eastAsia="仿宋"/>
                <w:sz w:val="24"/>
                <w:szCs w:val="24"/>
              </w:rPr>
              <w:t>/</w:t>
            </w:r>
          </w:p>
        </w:tc>
      </w:tr>
      <w:tr w14:paraId="12B1DAA6">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5C0669FB">
            <w:pPr>
              <w:snapToGrid w:val="0"/>
              <w:jc w:val="center"/>
              <w:rPr>
                <w:rFonts w:hint="eastAsia" w:ascii="仿宋" w:hAnsi="仿宋" w:eastAsia="仿宋" w:cs="仿宋"/>
                <w:sz w:val="24"/>
                <w:szCs w:val="24"/>
              </w:rPr>
            </w:pPr>
            <w:r>
              <w:rPr>
                <w:rFonts w:hint="eastAsia" w:ascii="仿宋" w:hAnsi="仿宋" w:eastAsia="仿宋" w:cs="仿宋"/>
                <w:sz w:val="24"/>
                <w:szCs w:val="24"/>
              </w:rPr>
              <w:t>4.2.1</w:t>
            </w:r>
          </w:p>
        </w:tc>
        <w:tc>
          <w:tcPr>
            <w:tcW w:w="3118" w:type="dxa"/>
            <w:tcBorders>
              <w:top w:val="single" w:color="auto" w:sz="4" w:space="0"/>
              <w:left w:val="single" w:color="auto" w:sz="4" w:space="0"/>
              <w:bottom w:val="single" w:color="auto" w:sz="4" w:space="0"/>
              <w:right w:val="single" w:color="auto" w:sz="4" w:space="0"/>
            </w:tcBorders>
            <w:vAlign w:val="center"/>
          </w:tcPr>
          <w:p w14:paraId="76E45B27">
            <w:pPr>
              <w:snapToGrid w:val="0"/>
              <w:jc w:val="center"/>
              <w:rPr>
                <w:rFonts w:hint="eastAsia" w:ascii="仿宋" w:hAnsi="仿宋" w:eastAsia="仿宋" w:cs="仿宋"/>
                <w:sz w:val="24"/>
                <w:szCs w:val="24"/>
              </w:rPr>
            </w:pPr>
            <w:r>
              <w:rPr>
                <w:rFonts w:hint="eastAsia" w:ascii="仿宋" w:hAnsi="仿宋" w:eastAsia="仿宋" w:cs="仿宋"/>
                <w:sz w:val="24"/>
                <w:szCs w:val="24"/>
              </w:rPr>
              <w:t>递交响应文件截止时间及递交响应文件地点</w:t>
            </w:r>
          </w:p>
        </w:tc>
        <w:tc>
          <w:tcPr>
            <w:tcW w:w="4675" w:type="dxa"/>
            <w:tcBorders>
              <w:top w:val="single" w:color="auto" w:sz="4" w:space="0"/>
              <w:left w:val="single" w:color="auto" w:sz="4" w:space="0"/>
              <w:bottom w:val="single" w:color="auto" w:sz="4" w:space="0"/>
              <w:right w:val="single" w:color="auto" w:sz="4" w:space="0"/>
            </w:tcBorders>
            <w:vAlign w:val="center"/>
          </w:tcPr>
          <w:p w14:paraId="0BE3B2C7">
            <w:pPr>
              <w:snapToGrid w:val="0"/>
              <w:rPr>
                <w:rFonts w:hint="eastAsia" w:ascii="仿宋" w:hAnsi="仿宋" w:eastAsia="仿宋" w:cs="仿宋"/>
                <w:sz w:val="24"/>
                <w:szCs w:val="24"/>
              </w:rPr>
            </w:pPr>
            <w:r>
              <w:rPr>
                <w:rFonts w:hint="eastAsia" w:ascii="仿宋" w:hAnsi="仿宋" w:eastAsia="仿宋" w:cs="仿宋"/>
                <w:sz w:val="24"/>
                <w:szCs w:val="24"/>
              </w:rPr>
              <w:t>见第一章“询比采购公告”</w:t>
            </w:r>
          </w:p>
        </w:tc>
      </w:tr>
      <w:tr w14:paraId="0C95BAA3">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3C18E32F">
            <w:pPr>
              <w:snapToGrid w:val="0"/>
              <w:jc w:val="center"/>
              <w:rPr>
                <w:rFonts w:hint="eastAsia" w:ascii="仿宋" w:hAnsi="仿宋" w:eastAsia="仿宋" w:cs="仿宋"/>
                <w:sz w:val="24"/>
                <w:szCs w:val="24"/>
              </w:rPr>
            </w:pPr>
            <w:r>
              <w:rPr>
                <w:rFonts w:hint="eastAsia" w:ascii="仿宋" w:hAnsi="仿宋" w:eastAsia="仿宋" w:cs="仿宋"/>
                <w:sz w:val="24"/>
                <w:szCs w:val="24"/>
              </w:rPr>
              <w:t>4.2.2</w:t>
            </w:r>
          </w:p>
        </w:tc>
        <w:tc>
          <w:tcPr>
            <w:tcW w:w="3118" w:type="dxa"/>
            <w:tcBorders>
              <w:top w:val="single" w:color="auto" w:sz="4" w:space="0"/>
              <w:left w:val="single" w:color="auto" w:sz="4" w:space="0"/>
              <w:bottom w:val="single" w:color="auto" w:sz="4" w:space="0"/>
              <w:right w:val="single" w:color="auto" w:sz="4" w:space="0"/>
            </w:tcBorders>
            <w:vAlign w:val="center"/>
          </w:tcPr>
          <w:p w14:paraId="2BDB6B70">
            <w:pPr>
              <w:snapToGrid w:val="0"/>
              <w:jc w:val="center"/>
              <w:rPr>
                <w:rFonts w:hint="eastAsia" w:ascii="仿宋" w:hAnsi="仿宋" w:eastAsia="仿宋" w:cs="仿宋"/>
                <w:sz w:val="24"/>
                <w:szCs w:val="24"/>
              </w:rPr>
            </w:pPr>
            <w:r>
              <w:rPr>
                <w:rFonts w:hint="eastAsia" w:ascii="仿宋" w:hAnsi="仿宋" w:eastAsia="仿宋" w:cs="仿宋"/>
                <w:sz w:val="24"/>
                <w:szCs w:val="24"/>
              </w:rPr>
              <w:t>是否退还响应文件</w:t>
            </w:r>
          </w:p>
        </w:tc>
        <w:tc>
          <w:tcPr>
            <w:tcW w:w="4675" w:type="dxa"/>
            <w:tcBorders>
              <w:top w:val="single" w:color="auto" w:sz="4" w:space="0"/>
              <w:left w:val="single" w:color="auto" w:sz="4" w:space="0"/>
              <w:bottom w:val="single" w:color="auto" w:sz="4" w:space="0"/>
              <w:right w:val="single" w:color="auto" w:sz="4" w:space="0"/>
            </w:tcBorders>
            <w:vAlign w:val="center"/>
          </w:tcPr>
          <w:p w14:paraId="077237F7">
            <w:pPr>
              <w:pStyle w:val="10"/>
              <w:topLinePunct/>
              <w:snapToGrid w:val="0"/>
              <w:rPr>
                <w:rFonts w:hint="eastAsia" w:ascii="仿宋" w:hAnsi="仿宋" w:eastAsia="仿宋" w:cs="仿宋"/>
                <w:szCs w:val="24"/>
              </w:rPr>
            </w:pPr>
            <w:r>
              <w:rPr>
                <w:rFonts w:hint="eastAsia" w:ascii="仿宋" w:hAnsi="仿宋" w:eastAsia="仿宋" w:cs="仿宋"/>
                <w:szCs w:val="24"/>
              </w:rPr>
              <w:sym w:font="Wingdings 2" w:char="0052"/>
            </w:r>
            <w:r>
              <w:rPr>
                <w:rFonts w:hint="eastAsia" w:ascii="仿宋" w:hAnsi="仿宋" w:eastAsia="仿宋" w:cs="仿宋"/>
                <w:szCs w:val="24"/>
              </w:rPr>
              <w:t>否</w:t>
            </w:r>
          </w:p>
          <w:p w14:paraId="72B0EB23">
            <w:pPr>
              <w:snapToGrid w:val="0"/>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是，退还时间：</w:t>
            </w:r>
            <w:r>
              <w:rPr>
                <w:rFonts w:hint="eastAsia" w:ascii="仿宋" w:hAnsi="仿宋" w:eastAsia="仿宋" w:cs="仿宋"/>
                <w:sz w:val="24"/>
                <w:szCs w:val="24"/>
                <w:u w:val="single"/>
              </w:rPr>
              <w:t xml:space="preserve">          </w:t>
            </w:r>
          </w:p>
        </w:tc>
      </w:tr>
      <w:tr w14:paraId="0FC8A369">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27C58852">
            <w:pPr>
              <w:snapToGrid w:val="0"/>
              <w:jc w:val="center"/>
              <w:rPr>
                <w:rFonts w:hint="eastAsia" w:ascii="仿宋" w:hAnsi="仿宋" w:eastAsia="仿宋" w:cs="仿宋"/>
                <w:sz w:val="24"/>
                <w:szCs w:val="24"/>
              </w:rPr>
            </w:pPr>
            <w:r>
              <w:rPr>
                <w:rFonts w:hint="eastAsia" w:ascii="仿宋" w:hAnsi="仿宋" w:eastAsia="仿宋" w:cs="仿宋"/>
                <w:sz w:val="24"/>
                <w:szCs w:val="24"/>
              </w:rPr>
              <w:t>5.2（2）（A</w:t>
            </w:r>
            <w:r>
              <w:rPr>
                <w:rFonts w:ascii="仿宋" w:hAnsi="仿宋" w:eastAsia="仿宋" w:cs="仿宋"/>
                <w:sz w:val="24"/>
                <w:szCs w:val="24"/>
              </w:rPr>
              <w:t>）</w:t>
            </w:r>
          </w:p>
        </w:tc>
        <w:tc>
          <w:tcPr>
            <w:tcW w:w="3118" w:type="dxa"/>
            <w:tcBorders>
              <w:top w:val="single" w:color="auto" w:sz="4" w:space="0"/>
              <w:left w:val="single" w:color="auto" w:sz="4" w:space="0"/>
              <w:bottom w:val="single" w:color="auto" w:sz="4" w:space="0"/>
              <w:right w:val="single" w:color="auto" w:sz="4" w:space="0"/>
            </w:tcBorders>
            <w:vAlign w:val="center"/>
          </w:tcPr>
          <w:p w14:paraId="5A21E264">
            <w:pPr>
              <w:snapToGrid w:val="0"/>
              <w:jc w:val="center"/>
              <w:rPr>
                <w:rFonts w:hint="eastAsia" w:ascii="仿宋" w:hAnsi="仿宋" w:eastAsia="仿宋" w:cs="仿宋"/>
                <w:sz w:val="24"/>
                <w:szCs w:val="24"/>
              </w:rPr>
            </w:pPr>
            <w:r>
              <w:rPr>
                <w:rFonts w:hint="eastAsia" w:ascii="仿宋" w:hAnsi="仿宋" w:eastAsia="仿宋" w:cs="仿宋"/>
                <w:sz w:val="24"/>
                <w:szCs w:val="24"/>
              </w:rPr>
              <w:t>开启程序</w:t>
            </w:r>
          </w:p>
        </w:tc>
        <w:tc>
          <w:tcPr>
            <w:tcW w:w="4675" w:type="dxa"/>
            <w:tcBorders>
              <w:top w:val="single" w:color="auto" w:sz="4" w:space="0"/>
              <w:left w:val="single" w:color="auto" w:sz="4" w:space="0"/>
              <w:bottom w:val="single" w:color="auto" w:sz="4" w:space="0"/>
              <w:right w:val="single" w:color="auto" w:sz="4" w:space="0"/>
            </w:tcBorders>
            <w:vAlign w:val="center"/>
          </w:tcPr>
          <w:p w14:paraId="34C6BAC2">
            <w:pPr>
              <w:pStyle w:val="10"/>
              <w:topLinePunct/>
              <w:snapToGrid w:val="0"/>
              <w:rPr>
                <w:rFonts w:hint="eastAsia" w:ascii="仿宋" w:hAnsi="仿宋" w:eastAsia="仿宋" w:cs="仿宋"/>
                <w:szCs w:val="24"/>
              </w:rPr>
            </w:pPr>
            <w:r>
              <w:rPr>
                <w:rFonts w:hint="eastAsia" w:ascii="仿宋" w:hAnsi="仿宋" w:eastAsia="仿宋" w:cs="仿宋"/>
                <w:szCs w:val="24"/>
              </w:rPr>
              <w:t xml:space="preserve">开启顺序：随机 </w:t>
            </w:r>
          </w:p>
        </w:tc>
      </w:tr>
      <w:tr w14:paraId="241A7D85">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right w:val="single" w:color="auto" w:sz="4" w:space="0"/>
            </w:tcBorders>
            <w:vAlign w:val="center"/>
          </w:tcPr>
          <w:p w14:paraId="3B810741">
            <w:pPr>
              <w:snapToGrid w:val="0"/>
              <w:jc w:val="center"/>
              <w:rPr>
                <w:rFonts w:hint="eastAsia" w:ascii="仿宋" w:hAnsi="仿宋" w:eastAsia="仿宋" w:cs="仿宋"/>
                <w:sz w:val="24"/>
                <w:szCs w:val="24"/>
              </w:rPr>
            </w:pPr>
            <w:r>
              <w:rPr>
                <w:rFonts w:hint="eastAsia" w:ascii="仿宋" w:hAnsi="仿宋" w:eastAsia="仿宋" w:cs="仿宋"/>
                <w:sz w:val="24"/>
                <w:szCs w:val="24"/>
              </w:rPr>
              <w:t>5.2（3）（B</w:t>
            </w:r>
            <w:r>
              <w:rPr>
                <w:rFonts w:ascii="仿宋" w:hAnsi="仿宋" w:eastAsia="仿宋" w:cs="仿宋"/>
                <w:sz w:val="24"/>
                <w:szCs w:val="24"/>
              </w:rPr>
              <w:t>）</w:t>
            </w:r>
          </w:p>
        </w:tc>
        <w:tc>
          <w:tcPr>
            <w:tcW w:w="3118" w:type="dxa"/>
            <w:tcBorders>
              <w:top w:val="single" w:color="auto" w:sz="4" w:space="0"/>
              <w:left w:val="single" w:color="auto" w:sz="4" w:space="0"/>
              <w:right w:val="single" w:color="auto" w:sz="4" w:space="0"/>
            </w:tcBorders>
            <w:vAlign w:val="center"/>
          </w:tcPr>
          <w:p w14:paraId="56010AFD">
            <w:pPr>
              <w:snapToGrid w:val="0"/>
              <w:jc w:val="center"/>
              <w:rPr>
                <w:rFonts w:hint="eastAsia" w:ascii="仿宋" w:hAnsi="仿宋" w:eastAsia="仿宋" w:cs="仿宋"/>
                <w:sz w:val="24"/>
                <w:szCs w:val="24"/>
              </w:rPr>
            </w:pPr>
            <w:r>
              <w:rPr>
                <w:rFonts w:hint="eastAsia" w:ascii="仿宋" w:hAnsi="仿宋" w:eastAsia="仿宋" w:cs="仿宋"/>
                <w:sz w:val="24"/>
                <w:szCs w:val="24"/>
              </w:rPr>
              <w:t>开启程序</w:t>
            </w:r>
          </w:p>
          <w:p w14:paraId="36580073">
            <w:pPr>
              <w:snapToGrid w:val="0"/>
              <w:jc w:val="center"/>
              <w:rPr>
                <w:rFonts w:hint="eastAsia" w:ascii="仿宋" w:hAnsi="仿宋" w:eastAsia="仿宋" w:cs="仿宋"/>
                <w:sz w:val="24"/>
                <w:szCs w:val="24"/>
              </w:rPr>
            </w:pPr>
            <w:r>
              <w:rPr>
                <w:rFonts w:hint="eastAsia" w:ascii="仿宋" w:hAnsi="仿宋" w:eastAsia="仿宋" w:cs="仿宋"/>
                <w:sz w:val="24"/>
                <w:szCs w:val="24"/>
              </w:rPr>
              <w:t>（本项目不适用）</w:t>
            </w:r>
          </w:p>
        </w:tc>
        <w:tc>
          <w:tcPr>
            <w:tcW w:w="4675" w:type="dxa"/>
            <w:tcBorders>
              <w:top w:val="single" w:color="auto" w:sz="4" w:space="0"/>
              <w:left w:val="single" w:color="auto" w:sz="4" w:space="0"/>
              <w:right w:val="single" w:color="auto" w:sz="4" w:space="0"/>
            </w:tcBorders>
            <w:vAlign w:val="center"/>
          </w:tcPr>
          <w:p w14:paraId="7BDDE625">
            <w:pPr>
              <w:snapToGrid w:val="0"/>
              <w:rPr>
                <w:rFonts w:hint="eastAsia" w:ascii="仿宋" w:hAnsi="仿宋" w:eastAsia="仿宋" w:cs="仿宋"/>
                <w:sz w:val="24"/>
                <w:szCs w:val="24"/>
              </w:rPr>
            </w:pPr>
            <w:r>
              <w:rPr>
                <w:rFonts w:hint="eastAsia" w:ascii="仿宋" w:hAnsi="仿宋" w:eastAsia="仿宋" w:cs="仿宋"/>
                <w:sz w:val="24"/>
                <w:szCs w:val="24"/>
              </w:rPr>
              <w:t>/</w:t>
            </w:r>
          </w:p>
        </w:tc>
      </w:tr>
      <w:tr w14:paraId="2DF703B0">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right w:val="single" w:color="auto" w:sz="4" w:space="0"/>
            </w:tcBorders>
            <w:vAlign w:val="center"/>
          </w:tcPr>
          <w:p w14:paraId="36FCA2E4">
            <w:pPr>
              <w:snapToGrid w:val="0"/>
              <w:jc w:val="center"/>
              <w:rPr>
                <w:rFonts w:hint="eastAsia" w:ascii="仿宋" w:hAnsi="仿宋" w:eastAsia="仿宋" w:cs="仿宋"/>
                <w:sz w:val="24"/>
                <w:szCs w:val="24"/>
              </w:rPr>
            </w:pPr>
            <w:r>
              <w:rPr>
                <w:rFonts w:hint="eastAsia" w:ascii="仿宋" w:hAnsi="仿宋" w:eastAsia="仿宋" w:cs="仿宋"/>
                <w:sz w:val="24"/>
                <w:szCs w:val="24"/>
              </w:rPr>
              <w:t>5.3</w:t>
            </w:r>
          </w:p>
        </w:tc>
        <w:tc>
          <w:tcPr>
            <w:tcW w:w="3118" w:type="dxa"/>
            <w:tcBorders>
              <w:top w:val="single" w:color="auto" w:sz="4" w:space="0"/>
              <w:left w:val="single" w:color="auto" w:sz="4" w:space="0"/>
              <w:right w:val="single" w:color="auto" w:sz="4" w:space="0"/>
            </w:tcBorders>
            <w:vAlign w:val="center"/>
          </w:tcPr>
          <w:p w14:paraId="1717986E">
            <w:pPr>
              <w:snapToGrid w:val="0"/>
              <w:jc w:val="center"/>
              <w:rPr>
                <w:rFonts w:hint="eastAsia" w:ascii="仿宋" w:hAnsi="仿宋" w:eastAsia="仿宋" w:cs="仿宋"/>
                <w:sz w:val="24"/>
                <w:szCs w:val="24"/>
              </w:rPr>
            </w:pPr>
            <w:r>
              <w:rPr>
                <w:rFonts w:hint="eastAsia" w:ascii="仿宋" w:hAnsi="仿宋" w:eastAsia="仿宋" w:cs="仿宋"/>
                <w:sz w:val="24"/>
                <w:szCs w:val="24"/>
              </w:rPr>
              <w:t>递交响应文件的供应商</w:t>
            </w:r>
          </w:p>
          <w:p w14:paraId="2AD9FB92">
            <w:pPr>
              <w:snapToGrid w:val="0"/>
              <w:jc w:val="center"/>
              <w:rPr>
                <w:rFonts w:hint="eastAsia" w:ascii="仿宋" w:hAnsi="仿宋" w:eastAsia="仿宋" w:cs="仿宋"/>
                <w:sz w:val="24"/>
                <w:szCs w:val="24"/>
              </w:rPr>
            </w:pPr>
            <w:r>
              <w:rPr>
                <w:rFonts w:hint="eastAsia" w:ascii="仿宋" w:hAnsi="仿宋" w:eastAsia="仿宋" w:cs="仿宋"/>
                <w:sz w:val="24"/>
                <w:szCs w:val="24"/>
              </w:rPr>
              <w:t>不足的情形</w:t>
            </w:r>
          </w:p>
        </w:tc>
        <w:tc>
          <w:tcPr>
            <w:tcW w:w="4675" w:type="dxa"/>
            <w:tcBorders>
              <w:top w:val="single" w:color="auto" w:sz="4" w:space="0"/>
              <w:left w:val="single" w:color="auto" w:sz="4" w:space="0"/>
              <w:right w:val="single" w:color="auto" w:sz="4" w:space="0"/>
            </w:tcBorders>
            <w:vAlign w:val="center"/>
          </w:tcPr>
          <w:p w14:paraId="417DFE1F">
            <w:pPr>
              <w:pStyle w:val="10"/>
              <w:topLinePunct/>
              <w:snapToGrid w:val="0"/>
              <w:rPr>
                <w:rFonts w:hint="eastAsia" w:ascii="仿宋" w:hAnsi="仿宋" w:eastAsia="仿宋" w:cs="仿宋"/>
                <w:szCs w:val="24"/>
              </w:rPr>
            </w:pPr>
            <w:r>
              <w:rPr>
                <w:rFonts w:hint="eastAsia" w:ascii="仿宋" w:hAnsi="仿宋" w:eastAsia="仿宋" w:cs="仿宋"/>
                <w:szCs w:val="24"/>
              </w:rPr>
              <w:t>成交供应商为多家时，供应商不足的数量要求：</w:t>
            </w:r>
            <w:r>
              <w:rPr>
                <w:rFonts w:hint="eastAsia" w:ascii="仿宋" w:hAnsi="仿宋" w:eastAsia="仿宋" w:cs="仿宋"/>
                <w:szCs w:val="24"/>
                <w:u w:val="single"/>
              </w:rPr>
              <w:t>3</w:t>
            </w:r>
            <w:r>
              <w:rPr>
                <w:rFonts w:hint="eastAsia" w:ascii="仿宋" w:hAnsi="仿宋" w:eastAsia="仿宋" w:cs="仿宋"/>
                <w:szCs w:val="24"/>
              </w:rPr>
              <w:t>家</w:t>
            </w:r>
          </w:p>
        </w:tc>
      </w:tr>
      <w:tr w14:paraId="54DB14B4">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right w:val="single" w:color="auto" w:sz="4" w:space="0"/>
            </w:tcBorders>
            <w:vAlign w:val="center"/>
          </w:tcPr>
          <w:p w14:paraId="1A0AEB8D">
            <w:pPr>
              <w:snapToGrid w:val="0"/>
              <w:jc w:val="center"/>
              <w:rPr>
                <w:rFonts w:hint="eastAsia" w:ascii="仿宋" w:hAnsi="仿宋" w:eastAsia="仿宋" w:cs="仿宋"/>
                <w:sz w:val="24"/>
                <w:szCs w:val="24"/>
              </w:rPr>
            </w:pPr>
            <w:r>
              <w:rPr>
                <w:rFonts w:hint="eastAsia" w:ascii="仿宋" w:hAnsi="仿宋" w:eastAsia="仿宋" w:cs="仿宋"/>
                <w:sz w:val="24"/>
                <w:szCs w:val="24"/>
              </w:rPr>
              <w:t>6.2.2</w:t>
            </w:r>
          </w:p>
        </w:tc>
        <w:tc>
          <w:tcPr>
            <w:tcW w:w="3118" w:type="dxa"/>
            <w:tcBorders>
              <w:top w:val="single" w:color="auto" w:sz="4" w:space="0"/>
              <w:left w:val="single" w:color="auto" w:sz="4" w:space="0"/>
              <w:right w:val="single" w:color="auto" w:sz="4" w:space="0"/>
            </w:tcBorders>
            <w:vAlign w:val="center"/>
          </w:tcPr>
          <w:p w14:paraId="5EBA917E">
            <w:pPr>
              <w:snapToGrid w:val="0"/>
              <w:jc w:val="center"/>
              <w:rPr>
                <w:rFonts w:hint="eastAsia" w:ascii="仿宋" w:hAnsi="仿宋" w:eastAsia="仿宋" w:cs="仿宋"/>
                <w:sz w:val="24"/>
                <w:szCs w:val="24"/>
              </w:rPr>
            </w:pPr>
            <w:r>
              <w:rPr>
                <w:rFonts w:hint="eastAsia" w:ascii="仿宋" w:hAnsi="仿宋" w:eastAsia="仿宋" w:cs="仿宋"/>
                <w:sz w:val="24"/>
                <w:szCs w:val="24"/>
              </w:rPr>
              <w:t>推荐候选成交供应商的</w:t>
            </w:r>
          </w:p>
          <w:p w14:paraId="59BF2E53">
            <w:pPr>
              <w:snapToGrid w:val="0"/>
              <w:jc w:val="center"/>
              <w:rPr>
                <w:rFonts w:hint="eastAsia" w:ascii="仿宋" w:hAnsi="仿宋" w:eastAsia="仿宋" w:cs="仿宋"/>
                <w:sz w:val="24"/>
                <w:szCs w:val="24"/>
              </w:rPr>
            </w:pPr>
            <w:r>
              <w:rPr>
                <w:rFonts w:hint="eastAsia" w:ascii="仿宋" w:hAnsi="仿宋" w:eastAsia="仿宋" w:cs="仿宋"/>
                <w:sz w:val="24"/>
                <w:szCs w:val="24"/>
              </w:rPr>
              <w:t>排序及数量</w:t>
            </w:r>
          </w:p>
        </w:tc>
        <w:tc>
          <w:tcPr>
            <w:tcW w:w="4675" w:type="dxa"/>
            <w:tcBorders>
              <w:top w:val="single" w:color="auto" w:sz="4" w:space="0"/>
              <w:left w:val="single" w:color="auto" w:sz="4" w:space="0"/>
              <w:right w:val="single" w:color="auto" w:sz="4" w:space="0"/>
            </w:tcBorders>
            <w:vAlign w:val="center"/>
          </w:tcPr>
          <w:p w14:paraId="37F08EB4">
            <w:pPr>
              <w:pStyle w:val="10"/>
              <w:topLinePunct/>
              <w:snapToGrid w:val="0"/>
              <w:rPr>
                <w:rFonts w:hint="eastAsia" w:ascii="仿宋" w:hAnsi="仿宋" w:eastAsia="仿宋" w:cs="仿宋"/>
                <w:szCs w:val="24"/>
              </w:rPr>
            </w:pPr>
            <w:r>
              <w:rPr>
                <w:rFonts w:hint="eastAsia" w:ascii="仿宋" w:hAnsi="仿宋" w:eastAsia="仿宋" w:cs="仿宋"/>
                <w:szCs w:val="24"/>
              </w:rPr>
              <w:t>是否排序：</w:t>
            </w:r>
          </w:p>
          <w:p w14:paraId="4001AD36">
            <w:pPr>
              <w:pStyle w:val="10"/>
              <w:topLinePunct/>
              <w:snapToGrid w:val="0"/>
              <w:rPr>
                <w:rFonts w:hint="eastAsia" w:ascii="仿宋" w:hAnsi="仿宋" w:eastAsia="仿宋" w:cs="仿宋"/>
                <w:szCs w:val="24"/>
              </w:rPr>
            </w:pPr>
            <w:r>
              <w:rPr>
                <w:rFonts w:hint="eastAsia" w:ascii="仿宋" w:hAnsi="仿宋" w:eastAsia="仿宋" w:cs="仿宋"/>
                <w:szCs w:val="24"/>
              </w:rPr>
              <w:sym w:font="Wingdings 2" w:char="0052"/>
            </w:r>
            <w:r>
              <w:rPr>
                <w:rFonts w:hint="eastAsia" w:ascii="仿宋" w:hAnsi="仿宋" w:eastAsia="仿宋" w:cs="仿宋"/>
                <w:szCs w:val="24"/>
              </w:rPr>
              <w:t>排序</w:t>
            </w:r>
          </w:p>
          <w:p w14:paraId="2B9D6836">
            <w:pPr>
              <w:pStyle w:val="10"/>
              <w:topLinePunct/>
              <w:snapToGrid w:val="0"/>
              <w:rPr>
                <w:rFonts w:hint="eastAsia" w:ascii="仿宋" w:hAnsi="仿宋" w:eastAsia="仿宋" w:cs="仿宋"/>
                <w:szCs w:val="24"/>
              </w:rPr>
            </w:pPr>
            <w:r>
              <w:rPr>
                <w:rFonts w:hint="eastAsia" w:ascii="仿宋" w:hAnsi="仿宋" w:eastAsia="仿宋" w:cs="仿宋"/>
                <w:szCs w:val="24"/>
              </w:rPr>
              <w:sym w:font="Wingdings 2" w:char="00A3"/>
            </w:r>
            <w:r>
              <w:rPr>
                <w:rFonts w:hint="eastAsia" w:ascii="仿宋" w:hAnsi="仿宋" w:eastAsia="仿宋" w:cs="仿宋"/>
                <w:szCs w:val="24"/>
              </w:rPr>
              <w:t>不排序</w:t>
            </w:r>
          </w:p>
          <w:p w14:paraId="6DA953BC">
            <w:pPr>
              <w:pStyle w:val="10"/>
              <w:topLinePunct/>
              <w:snapToGrid w:val="0"/>
              <w:rPr>
                <w:rFonts w:hint="eastAsia" w:ascii="仿宋" w:hAnsi="仿宋" w:eastAsia="仿宋" w:cs="仿宋"/>
                <w:b/>
                <w:szCs w:val="24"/>
              </w:rPr>
            </w:pPr>
            <w:r>
              <w:rPr>
                <w:rFonts w:hint="eastAsia" w:ascii="仿宋" w:hAnsi="仿宋" w:eastAsia="仿宋" w:cs="仿宋"/>
                <w:b/>
                <w:szCs w:val="24"/>
              </w:rPr>
              <w:t>数量：</w:t>
            </w:r>
            <w:r>
              <w:rPr>
                <w:rFonts w:hint="eastAsia" w:ascii="仿宋" w:hAnsi="仿宋" w:eastAsia="仿宋" w:cs="仿宋"/>
                <w:b/>
                <w:szCs w:val="24"/>
                <w:u w:val="single"/>
              </w:rPr>
              <w:t>3名</w:t>
            </w:r>
          </w:p>
        </w:tc>
      </w:tr>
      <w:tr w14:paraId="7A393C63">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13D7927F">
            <w:pPr>
              <w:snapToGrid w:val="0"/>
              <w:jc w:val="center"/>
              <w:rPr>
                <w:rFonts w:hint="eastAsia" w:ascii="仿宋" w:hAnsi="仿宋" w:eastAsia="仿宋" w:cs="仿宋"/>
                <w:sz w:val="24"/>
                <w:szCs w:val="24"/>
              </w:rPr>
            </w:pPr>
            <w:r>
              <w:rPr>
                <w:rFonts w:hint="eastAsia" w:ascii="宋体" w:hAnsi="宋体" w:eastAsia="仿宋" w:cs="Calibri"/>
                <w:sz w:val="24"/>
              </w:rPr>
              <w:t>7.1.1</w:t>
            </w:r>
          </w:p>
        </w:tc>
        <w:tc>
          <w:tcPr>
            <w:tcW w:w="3118" w:type="dxa"/>
            <w:tcBorders>
              <w:top w:val="single" w:color="auto" w:sz="4" w:space="0"/>
              <w:left w:val="single" w:color="auto" w:sz="4" w:space="0"/>
              <w:bottom w:val="single" w:color="auto" w:sz="4" w:space="0"/>
              <w:right w:val="single" w:color="auto" w:sz="4" w:space="0"/>
            </w:tcBorders>
            <w:vAlign w:val="center"/>
          </w:tcPr>
          <w:p w14:paraId="0BCBC42B">
            <w:pPr>
              <w:snapToGrid w:val="0"/>
              <w:jc w:val="center"/>
              <w:rPr>
                <w:rFonts w:hint="eastAsia" w:ascii="仿宋" w:hAnsi="仿宋" w:eastAsia="仿宋" w:cs="仿宋"/>
                <w:sz w:val="24"/>
                <w:szCs w:val="24"/>
              </w:rPr>
            </w:pPr>
            <w:r>
              <w:rPr>
                <w:rFonts w:hint="eastAsia" w:eastAsia="仿宋" w:cs="方正小标宋简体"/>
                <w:sz w:val="24"/>
              </w:rPr>
              <w:t>是否授权评审小组确定成交供应商</w:t>
            </w:r>
          </w:p>
        </w:tc>
        <w:tc>
          <w:tcPr>
            <w:tcW w:w="4675" w:type="dxa"/>
            <w:tcBorders>
              <w:top w:val="single" w:color="auto" w:sz="4" w:space="0"/>
              <w:left w:val="single" w:color="auto" w:sz="4" w:space="0"/>
              <w:bottom w:val="single" w:color="auto" w:sz="4" w:space="0"/>
              <w:right w:val="single" w:color="auto" w:sz="4" w:space="0"/>
            </w:tcBorders>
            <w:vAlign w:val="center"/>
          </w:tcPr>
          <w:p w14:paraId="6DEA0E7C">
            <w:pPr>
              <w:widowControl/>
              <w:adjustRightInd w:val="0"/>
              <w:snapToGrid w:val="0"/>
              <w:spacing w:line="288" w:lineRule="auto"/>
              <w:rPr>
                <w:rFonts w:hint="eastAsia" w:ascii="宋体" w:hAnsi="宋体" w:eastAsia="仿宋" w:cs="Calibri"/>
                <w:sz w:val="24"/>
                <w:szCs w:val="24"/>
              </w:rPr>
            </w:pPr>
            <w:r>
              <w:rPr>
                <w:rFonts w:hint="eastAsia" w:ascii="仿宋" w:hAnsi="仿宋" w:eastAsia="仿宋" w:cs="仿宋"/>
                <w:szCs w:val="24"/>
              </w:rPr>
              <w:sym w:font="Wingdings 2" w:char="0052"/>
            </w:r>
            <w:r>
              <w:rPr>
                <w:rFonts w:hint="eastAsia" w:ascii="宋体" w:hAnsi="宋体" w:eastAsia="仿宋" w:cs="Calibri"/>
                <w:sz w:val="24"/>
              </w:rPr>
              <w:t>否</w:t>
            </w:r>
          </w:p>
          <w:p w14:paraId="2CBD2AB1">
            <w:pPr>
              <w:pStyle w:val="10"/>
              <w:topLinePunct/>
              <w:snapToGrid w:val="0"/>
              <w:rPr>
                <w:rFonts w:hint="eastAsia" w:ascii="仿宋" w:hAnsi="仿宋" w:eastAsia="仿宋" w:cs="仿宋"/>
                <w:szCs w:val="24"/>
              </w:rPr>
            </w:pPr>
            <w:r>
              <w:rPr>
                <w:rFonts w:hint="eastAsia" w:hAnsi="宋体" w:eastAsia="仿宋" w:cs="Calibri"/>
              </w:rPr>
              <w:t>□是</w:t>
            </w:r>
          </w:p>
        </w:tc>
      </w:tr>
      <w:tr w14:paraId="31B7B42E">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16928253">
            <w:pPr>
              <w:snapToGrid w:val="0"/>
              <w:jc w:val="center"/>
              <w:rPr>
                <w:rFonts w:hint="eastAsia" w:ascii="仿宋" w:hAnsi="仿宋" w:eastAsia="仿宋" w:cs="仿宋"/>
                <w:sz w:val="24"/>
                <w:szCs w:val="24"/>
              </w:rPr>
            </w:pPr>
            <w:r>
              <w:rPr>
                <w:rFonts w:hint="eastAsia" w:ascii="仿宋" w:hAnsi="仿宋" w:eastAsia="仿宋" w:cs="仿宋"/>
                <w:sz w:val="24"/>
                <w:szCs w:val="24"/>
              </w:rPr>
              <w:t>7.1.2</w:t>
            </w:r>
          </w:p>
        </w:tc>
        <w:tc>
          <w:tcPr>
            <w:tcW w:w="3118" w:type="dxa"/>
            <w:tcBorders>
              <w:top w:val="single" w:color="auto" w:sz="4" w:space="0"/>
              <w:left w:val="single" w:color="auto" w:sz="4" w:space="0"/>
              <w:bottom w:val="single" w:color="auto" w:sz="4" w:space="0"/>
              <w:right w:val="single" w:color="auto" w:sz="4" w:space="0"/>
            </w:tcBorders>
            <w:vAlign w:val="center"/>
          </w:tcPr>
          <w:p w14:paraId="539E9AD2">
            <w:pPr>
              <w:snapToGrid w:val="0"/>
              <w:jc w:val="center"/>
              <w:rPr>
                <w:rFonts w:hint="eastAsia" w:ascii="仿宋" w:hAnsi="仿宋" w:eastAsia="仿宋" w:cs="仿宋"/>
                <w:sz w:val="24"/>
                <w:szCs w:val="24"/>
              </w:rPr>
            </w:pPr>
            <w:r>
              <w:rPr>
                <w:rFonts w:hint="eastAsia" w:ascii="仿宋" w:hAnsi="仿宋" w:eastAsia="仿宋" w:cs="仿宋"/>
                <w:sz w:val="24"/>
                <w:szCs w:val="24"/>
              </w:rPr>
              <w:t>成交公告</w:t>
            </w:r>
          </w:p>
        </w:tc>
        <w:tc>
          <w:tcPr>
            <w:tcW w:w="4675" w:type="dxa"/>
            <w:tcBorders>
              <w:top w:val="single" w:color="auto" w:sz="4" w:space="0"/>
              <w:left w:val="single" w:color="auto" w:sz="4" w:space="0"/>
              <w:bottom w:val="single" w:color="auto" w:sz="4" w:space="0"/>
              <w:right w:val="single" w:color="auto" w:sz="4" w:space="0"/>
            </w:tcBorders>
            <w:vAlign w:val="center"/>
          </w:tcPr>
          <w:p w14:paraId="0FCF5B42">
            <w:pPr>
              <w:jc w:val="left"/>
              <w:rPr>
                <w:rFonts w:hint="eastAsia" w:ascii="仿宋" w:hAnsi="仿宋" w:eastAsia="仿宋" w:cs="仿宋"/>
                <w:sz w:val="24"/>
                <w:szCs w:val="24"/>
              </w:rPr>
            </w:pPr>
            <w:r>
              <w:rPr>
                <w:rFonts w:hint="eastAsia" w:ascii="仿宋" w:hAnsi="仿宋" w:eastAsia="仿宋" w:cs="仿宋"/>
                <w:sz w:val="24"/>
                <w:szCs w:val="24"/>
              </w:rPr>
              <w:t>公示媒介：</w:t>
            </w:r>
            <w:r>
              <w:rPr>
                <w:rFonts w:hint="eastAsia" w:ascii="Times New Roman" w:hAnsi="Times New Roman" w:eastAsia="仿宋"/>
                <w:sz w:val="24"/>
                <w:szCs w:val="24"/>
              </w:rPr>
              <w:t>同询比采购公告发布</w:t>
            </w:r>
            <w:r>
              <w:rPr>
                <w:rFonts w:hint="eastAsia" w:ascii="仿宋" w:hAnsi="仿宋" w:eastAsia="仿宋" w:cs="仿宋"/>
                <w:sz w:val="24"/>
                <w:szCs w:val="24"/>
              </w:rPr>
              <w:t>媒介</w:t>
            </w:r>
          </w:p>
          <w:p w14:paraId="3C57CAEA">
            <w:pPr>
              <w:snapToGrid w:val="0"/>
              <w:jc w:val="left"/>
              <w:rPr>
                <w:rFonts w:hint="eastAsia" w:ascii="仿宋" w:hAnsi="仿宋" w:eastAsia="仿宋" w:cs="仿宋"/>
                <w:sz w:val="24"/>
                <w:szCs w:val="24"/>
              </w:rPr>
            </w:pPr>
            <w:r>
              <w:rPr>
                <w:rFonts w:hint="eastAsia" w:ascii="仿宋" w:hAnsi="仿宋" w:eastAsia="仿宋" w:cs="仿宋"/>
                <w:sz w:val="24"/>
                <w:szCs w:val="24"/>
              </w:rPr>
              <w:t>公示期限</w:t>
            </w:r>
            <w:r>
              <w:rPr>
                <w:rFonts w:hint="eastAsia" w:ascii="仿宋" w:hAnsi="仿宋" w:eastAsia="仿宋" w:cs="仿宋"/>
                <w:b/>
                <w:sz w:val="24"/>
                <w:szCs w:val="24"/>
              </w:rPr>
              <w:t>：1</w:t>
            </w:r>
            <w:r>
              <w:rPr>
                <w:rFonts w:hint="eastAsia" w:ascii="Times New Roman" w:hAnsi="Times New Roman" w:eastAsia="仿宋"/>
                <w:b/>
                <w:sz w:val="24"/>
                <w:szCs w:val="24"/>
              </w:rPr>
              <w:t>日</w:t>
            </w:r>
            <w:r>
              <w:rPr>
                <w:rFonts w:hint="eastAsia" w:ascii="Times New Roman" w:hAnsi="Times New Roman" w:eastAsia="仿宋"/>
                <w:sz w:val="24"/>
                <w:szCs w:val="24"/>
              </w:rPr>
              <w:t>（公示期截止时间在法定休息日的应顺延至首个工作日）</w:t>
            </w:r>
          </w:p>
          <w:p w14:paraId="46F37DB5">
            <w:pPr>
              <w:snapToGrid w:val="0"/>
              <w:rPr>
                <w:rFonts w:hint="eastAsia" w:ascii="仿宋" w:hAnsi="仿宋" w:eastAsia="仿宋" w:cs="仿宋"/>
                <w:sz w:val="24"/>
                <w:szCs w:val="24"/>
              </w:rPr>
            </w:pPr>
            <w:r>
              <w:rPr>
                <w:rFonts w:hint="eastAsia" w:ascii="仿宋" w:hAnsi="仿宋" w:eastAsia="仿宋" w:cs="仿宋"/>
                <w:sz w:val="24"/>
                <w:szCs w:val="24"/>
              </w:rPr>
              <w:t>公示的内容：包括但不限于项目名称、成交供应商名单、响应价格及服务期限、及采购代理机构名称和电话。</w:t>
            </w:r>
          </w:p>
        </w:tc>
      </w:tr>
      <w:tr w14:paraId="47936802">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3BC309CD">
            <w:pPr>
              <w:snapToGrid w:val="0"/>
              <w:jc w:val="center"/>
              <w:rPr>
                <w:rFonts w:hint="eastAsia" w:ascii="仿宋" w:hAnsi="仿宋" w:eastAsia="仿宋" w:cs="仿宋"/>
                <w:sz w:val="24"/>
                <w:szCs w:val="24"/>
              </w:rPr>
            </w:pPr>
            <w:r>
              <w:rPr>
                <w:rFonts w:hint="eastAsia" w:ascii="宋体" w:hAnsi="宋体" w:eastAsia="仿宋" w:cs="Calibri"/>
                <w:sz w:val="24"/>
              </w:rPr>
              <w:t>7.2.2</w:t>
            </w:r>
          </w:p>
        </w:tc>
        <w:tc>
          <w:tcPr>
            <w:tcW w:w="3118" w:type="dxa"/>
            <w:tcBorders>
              <w:top w:val="single" w:color="auto" w:sz="4" w:space="0"/>
              <w:left w:val="single" w:color="auto" w:sz="4" w:space="0"/>
              <w:bottom w:val="single" w:color="auto" w:sz="4" w:space="0"/>
              <w:right w:val="single" w:color="auto" w:sz="4" w:space="0"/>
            </w:tcBorders>
            <w:vAlign w:val="center"/>
          </w:tcPr>
          <w:p w14:paraId="6B1E2025">
            <w:pPr>
              <w:snapToGrid w:val="0"/>
              <w:jc w:val="center"/>
              <w:rPr>
                <w:rFonts w:hint="eastAsia" w:ascii="仿宋" w:hAnsi="仿宋" w:eastAsia="仿宋" w:cs="仿宋"/>
                <w:sz w:val="24"/>
                <w:szCs w:val="24"/>
              </w:rPr>
            </w:pPr>
            <w:r>
              <w:rPr>
                <w:rFonts w:hint="eastAsia" w:ascii="宋体" w:hAnsi="宋体" w:eastAsia="仿宋" w:cs="Calibri"/>
                <w:sz w:val="24"/>
              </w:rPr>
              <w:t>采购代理服务费</w:t>
            </w:r>
          </w:p>
        </w:tc>
        <w:tc>
          <w:tcPr>
            <w:tcW w:w="4675" w:type="dxa"/>
            <w:tcBorders>
              <w:top w:val="single" w:color="auto" w:sz="4" w:space="0"/>
              <w:left w:val="single" w:color="auto" w:sz="4" w:space="0"/>
              <w:bottom w:val="single" w:color="auto" w:sz="4" w:space="0"/>
              <w:right w:val="single" w:color="auto" w:sz="4" w:space="0"/>
            </w:tcBorders>
            <w:vAlign w:val="center"/>
          </w:tcPr>
          <w:p w14:paraId="56A830C2">
            <w:pPr>
              <w:widowControl/>
              <w:autoSpaceDE w:val="0"/>
              <w:autoSpaceDN w:val="0"/>
              <w:adjustRightInd w:val="0"/>
              <w:snapToGrid w:val="0"/>
              <w:spacing w:line="288" w:lineRule="auto"/>
              <w:rPr>
                <w:rFonts w:hint="eastAsia" w:ascii="仿宋" w:hAnsi="仿宋" w:eastAsia="仿宋" w:cs="仿宋"/>
                <w:sz w:val="24"/>
                <w:szCs w:val="24"/>
              </w:rPr>
            </w:pPr>
            <w:r>
              <w:rPr>
                <w:rFonts w:hint="eastAsia" w:ascii="楷体" w:hAnsi="楷体" w:eastAsia="仿宋" w:cs="Calibri"/>
                <w:sz w:val="24"/>
              </w:rPr>
              <w:t>/</w:t>
            </w:r>
          </w:p>
        </w:tc>
      </w:tr>
      <w:tr w14:paraId="485E8469">
        <w:tblPrEx>
          <w:tblCellMar>
            <w:top w:w="0" w:type="dxa"/>
            <w:left w:w="108" w:type="dxa"/>
            <w:bottom w:w="0" w:type="dxa"/>
            <w:right w:w="108" w:type="dxa"/>
          </w:tblCellMar>
        </w:tblPrEx>
        <w:trPr>
          <w:trHeight w:val="4878" w:hRule="atLeast"/>
        </w:trPr>
        <w:tc>
          <w:tcPr>
            <w:tcW w:w="1101" w:type="dxa"/>
            <w:tcBorders>
              <w:top w:val="single" w:color="auto" w:sz="4" w:space="0"/>
              <w:left w:val="single" w:color="auto" w:sz="4" w:space="0"/>
              <w:bottom w:val="single" w:color="auto" w:sz="4" w:space="0"/>
              <w:right w:val="single" w:color="auto" w:sz="4" w:space="0"/>
            </w:tcBorders>
            <w:vAlign w:val="center"/>
          </w:tcPr>
          <w:p w14:paraId="56F01BF5">
            <w:pPr>
              <w:snapToGrid w:val="0"/>
              <w:jc w:val="center"/>
              <w:rPr>
                <w:rFonts w:hint="eastAsia" w:ascii="仿宋" w:hAnsi="仿宋" w:eastAsia="仿宋" w:cs="仿宋"/>
                <w:sz w:val="24"/>
                <w:szCs w:val="24"/>
              </w:rPr>
            </w:pPr>
            <w:r>
              <w:rPr>
                <w:rFonts w:hint="eastAsia" w:ascii="仿宋" w:hAnsi="仿宋" w:eastAsia="仿宋" w:cs="仿宋"/>
                <w:sz w:val="24"/>
                <w:szCs w:val="24"/>
              </w:rPr>
              <w:t>7.3</w:t>
            </w:r>
          </w:p>
        </w:tc>
        <w:tc>
          <w:tcPr>
            <w:tcW w:w="3118" w:type="dxa"/>
            <w:tcBorders>
              <w:top w:val="single" w:color="auto" w:sz="4" w:space="0"/>
              <w:left w:val="single" w:color="auto" w:sz="4" w:space="0"/>
              <w:bottom w:val="single" w:color="auto" w:sz="4" w:space="0"/>
              <w:right w:val="single" w:color="auto" w:sz="4" w:space="0"/>
            </w:tcBorders>
            <w:vAlign w:val="center"/>
          </w:tcPr>
          <w:p w14:paraId="4696A1BF">
            <w:pPr>
              <w:snapToGrid w:val="0"/>
              <w:jc w:val="center"/>
              <w:rPr>
                <w:rFonts w:hint="eastAsia" w:ascii="仿宋" w:hAnsi="仿宋" w:eastAsia="仿宋" w:cs="仿宋"/>
                <w:sz w:val="24"/>
                <w:szCs w:val="24"/>
              </w:rPr>
            </w:pPr>
            <w:r>
              <w:rPr>
                <w:rFonts w:hint="eastAsia" w:ascii="仿宋" w:hAnsi="仿宋" w:eastAsia="仿宋" w:cs="仿宋"/>
                <w:sz w:val="24"/>
                <w:szCs w:val="24"/>
              </w:rPr>
              <w:t>履约保证金</w:t>
            </w:r>
          </w:p>
        </w:tc>
        <w:tc>
          <w:tcPr>
            <w:tcW w:w="4675" w:type="dxa"/>
            <w:tcBorders>
              <w:top w:val="single" w:color="auto" w:sz="4" w:space="0"/>
              <w:left w:val="single" w:color="auto" w:sz="4" w:space="0"/>
              <w:bottom w:val="single" w:color="auto" w:sz="4" w:space="0"/>
              <w:right w:val="single" w:color="auto" w:sz="4" w:space="0"/>
            </w:tcBorders>
            <w:vAlign w:val="center"/>
          </w:tcPr>
          <w:p w14:paraId="7BC20BEF">
            <w:pPr>
              <w:snapToGrid w:val="0"/>
              <w:spacing w:line="360" w:lineRule="auto"/>
              <w:jc w:val="left"/>
              <w:rPr>
                <w:rFonts w:ascii="Times New Roman" w:hAnsi="Times New Roman" w:eastAsia="仿宋"/>
                <w:sz w:val="24"/>
                <w:szCs w:val="24"/>
              </w:rPr>
            </w:pPr>
            <w:r>
              <w:rPr>
                <w:rFonts w:hint="eastAsia" w:ascii="Times New Roman" w:hAnsi="Times New Roman" w:eastAsia="仿宋"/>
                <w:sz w:val="24"/>
                <w:szCs w:val="24"/>
              </w:rPr>
              <w:t>是否要求供应商递交履约保证金：</w:t>
            </w:r>
          </w:p>
          <w:p w14:paraId="7925B2B7">
            <w:pPr>
              <w:snapToGrid w:val="0"/>
              <w:spacing w:line="360" w:lineRule="auto"/>
              <w:jc w:val="left"/>
              <w:rPr>
                <w:rFonts w:ascii="Times New Roman" w:hAnsi="Times New Roman" w:eastAsia="仿宋"/>
                <w:sz w:val="24"/>
                <w:szCs w:val="24"/>
              </w:rPr>
            </w:pPr>
            <w:r>
              <w:rPr>
                <w:rFonts w:hint="eastAsia" w:ascii="Times New Roman" w:hAnsi="Times New Roman" w:eastAsia="仿宋"/>
                <w:sz w:val="24"/>
                <w:szCs w:val="24"/>
              </w:rPr>
              <w:sym w:font="Wingdings 2" w:char="00A3"/>
            </w:r>
            <w:r>
              <w:rPr>
                <w:rFonts w:hint="eastAsia" w:ascii="Times New Roman" w:hAnsi="Times New Roman" w:eastAsia="仿宋"/>
                <w:sz w:val="24"/>
                <w:szCs w:val="24"/>
              </w:rPr>
              <w:t>不要求</w:t>
            </w:r>
          </w:p>
          <w:p w14:paraId="0DEDCBA4">
            <w:pPr>
              <w:snapToGrid w:val="0"/>
              <w:spacing w:line="360" w:lineRule="auto"/>
              <w:jc w:val="left"/>
              <w:rPr>
                <w:rFonts w:ascii="Times New Roman" w:hAnsi="Times New Roman" w:eastAsia="仿宋"/>
                <w:sz w:val="24"/>
                <w:szCs w:val="24"/>
              </w:rPr>
            </w:pPr>
            <w:r>
              <w:rPr>
                <w:rFonts w:hint="eastAsia" w:ascii="Times New Roman" w:hAnsi="Times New Roman" w:eastAsia="仿宋"/>
                <w:sz w:val="24"/>
                <w:szCs w:val="24"/>
              </w:rPr>
              <w:sym w:font="Wingdings 2" w:char="0052"/>
            </w:r>
            <w:r>
              <w:rPr>
                <w:rFonts w:hint="eastAsia" w:ascii="Times New Roman" w:hAnsi="Times New Roman" w:eastAsia="仿宋"/>
                <w:sz w:val="24"/>
                <w:szCs w:val="24"/>
              </w:rPr>
              <w:t>要求，具体如下：</w:t>
            </w:r>
          </w:p>
          <w:p w14:paraId="3B5C28FB">
            <w:pPr>
              <w:snapToGrid w:val="0"/>
              <w:spacing w:line="360" w:lineRule="auto"/>
              <w:jc w:val="left"/>
              <w:rPr>
                <w:rFonts w:hint="eastAsia" w:ascii="Times New Roman" w:hAnsi="Times New Roman" w:eastAsia="仿宋"/>
                <w:sz w:val="24"/>
                <w:szCs w:val="24"/>
                <w:highlight w:val="none"/>
                <w:lang w:val="en-US" w:eastAsia="zh-CN"/>
              </w:rPr>
            </w:pPr>
            <w:r>
              <w:rPr>
                <w:rFonts w:hint="eastAsia" w:ascii="Times New Roman" w:hAnsi="Times New Roman" w:eastAsia="仿宋"/>
                <w:sz w:val="24"/>
                <w:szCs w:val="24"/>
                <w:highlight w:val="none"/>
              </w:rPr>
              <w:t>（1）履约保证金金额：</w:t>
            </w:r>
            <w:r>
              <w:rPr>
                <w:rFonts w:hint="eastAsia" w:ascii="Times New Roman" w:hAnsi="Times New Roman" w:eastAsia="仿宋"/>
                <w:sz w:val="24"/>
                <w:szCs w:val="24"/>
                <w:highlight w:val="none"/>
                <w:lang w:val="en-US" w:eastAsia="zh-CN"/>
              </w:rPr>
              <w:t>/</w:t>
            </w:r>
          </w:p>
          <w:p w14:paraId="486ED1E7">
            <w:pPr>
              <w:snapToGrid w:val="0"/>
              <w:spacing w:line="360" w:lineRule="auto"/>
              <w:jc w:val="left"/>
              <w:rPr>
                <w:rFonts w:ascii="Times New Roman" w:hAnsi="Times New Roman" w:eastAsia="仿宋"/>
                <w:sz w:val="24"/>
                <w:szCs w:val="24"/>
              </w:rPr>
            </w:pPr>
            <w:r>
              <w:rPr>
                <w:rFonts w:hint="eastAsia" w:ascii="Times New Roman" w:hAnsi="Times New Roman" w:eastAsia="仿宋"/>
                <w:sz w:val="24"/>
                <w:szCs w:val="24"/>
              </w:rPr>
              <w:t>（2）履约保证金形式：现金（银行转账、银行电汇）、银行保函、担保机构担保、保证保险。</w:t>
            </w:r>
          </w:p>
          <w:p w14:paraId="780FFD8C">
            <w:pPr>
              <w:snapToGrid w:val="0"/>
              <w:spacing w:line="360" w:lineRule="auto"/>
              <w:jc w:val="left"/>
              <w:rPr>
                <w:rFonts w:ascii="Times New Roman" w:hAnsi="Times New Roman" w:eastAsia="仿宋"/>
                <w:sz w:val="24"/>
                <w:szCs w:val="24"/>
              </w:rPr>
            </w:pPr>
            <w:r>
              <w:rPr>
                <w:rFonts w:hint="eastAsia" w:ascii="Times New Roman" w:hAnsi="Times New Roman" w:eastAsia="仿宋"/>
                <w:sz w:val="24"/>
                <w:szCs w:val="24"/>
              </w:rPr>
              <w:t>（2）递交时间：合同签订前。</w:t>
            </w:r>
          </w:p>
          <w:p w14:paraId="2A847EDD">
            <w:pPr>
              <w:snapToGrid w:val="0"/>
              <w:spacing w:line="360" w:lineRule="auto"/>
              <w:jc w:val="left"/>
              <w:rPr>
                <w:rFonts w:ascii="Times New Roman" w:hAnsi="Times New Roman" w:eastAsia="仿宋"/>
                <w:sz w:val="24"/>
                <w:szCs w:val="24"/>
              </w:rPr>
            </w:pPr>
            <w:r>
              <w:rPr>
                <w:rFonts w:hint="eastAsia" w:ascii="Times New Roman" w:hAnsi="Times New Roman" w:eastAsia="仿宋"/>
                <w:sz w:val="24"/>
                <w:szCs w:val="24"/>
              </w:rPr>
              <w:t>（3）退还时间：履约完成。</w:t>
            </w:r>
          </w:p>
          <w:p w14:paraId="357A3BB2">
            <w:pPr>
              <w:snapToGrid w:val="0"/>
              <w:rPr>
                <w:rFonts w:hint="eastAsia" w:ascii="仿宋" w:hAnsi="仿宋" w:eastAsia="仿宋" w:cs="仿宋"/>
                <w:sz w:val="24"/>
                <w:szCs w:val="24"/>
              </w:rPr>
            </w:pPr>
            <w:r>
              <w:rPr>
                <w:rFonts w:hint="eastAsia" w:ascii="Times New Roman" w:hAnsi="Times New Roman" w:eastAsia="仿宋"/>
                <w:sz w:val="24"/>
                <w:szCs w:val="24"/>
              </w:rPr>
              <w:t>（3）其他要求：</w:t>
            </w:r>
            <w:r>
              <w:rPr>
                <w:rFonts w:hint="eastAsia" w:ascii="Times New Roman" w:hAnsi="Times New Roman" w:eastAsia="仿宋"/>
                <w:sz w:val="24"/>
                <w:szCs w:val="24"/>
                <w:u w:val="single"/>
              </w:rPr>
              <w:t>/</w:t>
            </w:r>
            <w:r>
              <w:rPr>
                <w:rFonts w:hint="eastAsia" w:ascii="Times New Roman" w:hAnsi="Times New Roman" w:eastAsia="仿宋"/>
                <w:sz w:val="24"/>
                <w:szCs w:val="24"/>
              </w:rPr>
              <w:t xml:space="preserve"> </w:t>
            </w:r>
          </w:p>
        </w:tc>
      </w:tr>
      <w:tr w14:paraId="230A19F7">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0765876F">
            <w:pPr>
              <w:snapToGrid w:val="0"/>
              <w:jc w:val="center"/>
              <w:rPr>
                <w:rFonts w:hint="eastAsia" w:ascii="仿宋" w:hAnsi="仿宋" w:eastAsia="仿宋" w:cs="仿宋"/>
                <w:sz w:val="24"/>
                <w:szCs w:val="24"/>
              </w:rPr>
            </w:pPr>
            <w:r>
              <w:rPr>
                <w:rFonts w:hint="eastAsia" w:ascii="仿宋" w:hAnsi="仿宋" w:eastAsia="仿宋" w:cs="仿宋"/>
                <w:sz w:val="24"/>
                <w:szCs w:val="24"/>
              </w:rPr>
              <w:t>8.1</w:t>
            </w:r>
          </w:p>
        </w:tc>
        <w:tc>
          <w:tcPr>
            <w:tcW w:w="3118" w:type="dxa"/>
            <w:tcBorders>
              <w:top w:val="single" w:color="auto" w:sz="4" w:space="0"/>
              <w:left w:val="single" w:color="auto" w:sz="4" w:space="0"/>
              <w:bottom w:val="single" w:color="auto" w:sz="4" w:space="0"/>
              <w:right w:val="single" w:color="auto" w:sz="4" w:space="0"/>
            </w:tcBorders>
            <w:vAlign w:val="center"/>
          </w:tcPr>
          <w:p w14:paraId="072C620C">
            <w:pPr>
              <w:snapToGrid w:val="0"/>
              <w:jc w:val="center"/>
              <w:rPr>
                <w:rFonts w:hint="eastAsia" w:ascii="仿宋" w:hAnsi="仿宋" w:eastAsia="仿宋" w:cs="仿宋"/>
                <w:sz w:val="24"/>
                <w:szCs w:val="24"/>
              </w:rPr>
            </w:pPr>
            <w:r>
              <w:rPr>
                <w:rFonts w:hint="eastAsia" w:ascii="仿宋" w:hAnsi="仿宋" w:eastAsia="仿宋" w:cs="仿宋"/>
                <w:sz w:val="24"/>
                <w:szCs w:val="24"/>
              </w:rPr>
              <w:t>异议</w:t>
            </w:r>
          </w:p>
        </w:tc>
        <w:tc>
          <w:tcPr>
            <w:tcW w:w="4675" w:type="dxa"/>
            <w:tcBorders>
              <w:top w:val="single" w:color="auto" w:sz="4" w:space="0"/>
              <w:left w:val="single" w:color="auto" w:sz="4" w:space="0"/>
              <w:bottom w:val="single" w:color="auto" w:sz="4" w:space="0"/>
              <w:right w:val="single" w:color="auto" w:sz="4" w:space="0"/>
            </w:tcBorders>
            <w:vAlign w:val="center"/>
          </w:tcPr>
          <w:p w14:paraId="72F16F2A">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异议（质疑）：</w:t>
            </w:r>
          </w:p>
          <w:p w14:paraId="65BC01D5">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1、受理异议（质疑）的联系方式：</w:t>
            </w:r>
          </w:p>
          <w:p w14:paraId="557D41DC">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采购人：濉溪县中医医院</w:t>
            </w:r>
          </w:p>
          <w:p w14:paraId="41546FBC">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联系人：张主任</w:t>
            </w:r>
          </w:p>
          <w:p w14:paraId="50425175">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联系方式：0561—6828308</w:t>
            </w:r>
          </w:p>
          <w:p w14:paraId="7FF40DEE">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2、对采购文件的异议（质疑）：</w:t>
            </w:r>
          </w:p>
          <w:p w14:paraId="2AAA9CB0">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供应商未在本采购文件规定的时间内提出澄清要求或未在响应文件递交的截止时间</w:t>
            </w:r>
            <w:r>
              <w:rPr>
                <w:rFonts w:hint="eastAsia" w:ascii="仿宋" w:hAnsi="仿宋" w:eastAsia="仿宋" w:cs="仿宋"/>
                <w:sz w:val="24"/>
                <w:szCs w:val="24"/>
                <w:u w:val="single"/>
              </w:rPr>
              <w:t xml:space="preserve">   3</w:t>
            </w:r>
            <w:r>
              <w:rPr>
                <w:rFonts w:hint="eastAsia" w:ascii="仿宋" w:hAnsi="仿宋" w:eastAsia="仿宋" w:cs="仿宋"/>
                <w:sz w:val="24"/>
                <w:szCs w:val="24"/>
              </w:rPr>
              <w:t>日前提出异议（质疑）的，视为其对本文件无异议（质疑），上述时间之后对响应文件相关内容提出异议（质疑）的将不予受理。</w:t>
            </w:r>
          </w:p>
          <w:p w14:paraId="71A249EC">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3、对开启过程提出异议（质疑）的，应于开启现场提出。</w:t>
            </w:r>
          </w:p>
          <w:p w14:paraId="348186E7">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4、对评审结果的异议（质疑）：</w:t>
            </w:r>
          </w:p>
          <w:p w14:paraId="2EEB5D20">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采购响应相关各方对评审结果有异议（质疑），应在公示期内以书面形式向采购人提出。</w:t>
            </w:r>
          </w:p>
          <w:p w14:paraId="5FE1890D">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1）供应商委托代理人提出异议（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B9D549C">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（2）书面异议（质疑）材料应当包括以下内容：</w:t>
            </w:r>
          </w:p>
          <w:p w14:paraId="66BDCE6E">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①提出异议（质疑）的供应商的名称、地址及有效联系方式；</w:t>
            </w:r>
          </w:p>
          <w:p w14:paraId="5A9EF0B2">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②异议（质疑）对象的供应商的名称；</w:t>
            </w:r>
          </w:p>
          <w:p w14:paraId="299503DD">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③异议（质疑）事项的基本事实；</w:t>
            </w:r>
          </w:p>
          <w:p w14:paraId="5F97F471">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④相关请求和主张；</w:t>
            </w:r>
          </w:p>
          <w:p w14:paraId="6DF1FE32">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⑤有效线索和相关证明材料；</w:t>
            </w:r>
          </w:p>
          <w:p w14:paraId="60323D01">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⑥提出异议（质疑）的供应商是法人的，异议（质疑）材料必须由其法定代表人签字并加盖单位公章，并附法定代表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5BBD2C79">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（3）有下列情形的异议（质疑）材料不予受理：</w:t>
            </w:r>
          </w:p>
          <w:p w14:paraId="42CC5D25">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①书面异议（质疑）材料不完整的；</w:t>
            </w:r>
          </w:p>
          <w:p w14:paraId="6860E7E6">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②异议（质疑）事项含有主观猜测等内容且无充分有效证据的；</w:t>
            </w:r>
          </w:p>
          <w:p w14:paraId="74947ADD">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③对其他供应商的响应文件详细内容异议（质疑），无法提供合法来源渠道的；</w:t>
            </w:r>
          </w:p>
          <w:p w14:paraId="4A55444C">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④违反相关法律法规的。</w:t>
            </w:r>
          </w:p>
          <w:p w14:paraId="2C9DFA9F">
            <w:pPr>
              <w:snapToGrid w:val="0"/>
              <w:spacing w:line="0" w:lineRule="atLeast"/>
              <w:jc w:val="left"/>
              <w:rPr>
                <w:rFonts w:hint="eastAsia" w:ascii="仿宋" w:hAnsi="仿宋" w:eastAsia="仿宋" w:cs="仿宋"/>
                <w:sz w:val="24"/>
                <w:szCs w:val="24"/>
              </w:rPr>
            </w:pPr>
            <w:r>
              <w:rPr>
                <w:rFonts w:hint="eastAsia" w:ascii="仿宋" w:hAnsi="仿宋" w:eastAsia="仿宋" w:cs="仿宋"/>
                <w:sz w:val="24"/>
                <w:szCs w:val="24"/>
              </w:rPr>
              <w:t>（4）对于虚假、恶意异议（质疑）：</w:t>
            </w:r>
          </w:p>
          <w:p w14:paraId="0DD3038B">
            <w:pPr>
              <w:pStyle w:val="10"/>
              <w:topLinePunct/>
              <w:snapToGrid w:val="0"/>
              <w:rPr>
                <w:rFonts w:hint="eastAsia" w:ascii="仿宋" w:hAnsi="仿宋" w:eastAsia="仿宋" w:cs="仿宋"/>
                <w:szCs w:val="24"/>
              </w:rPr>
            </w:pPr>
            <w:r>
              <w:rPr>
                <w:rFonts w:hint="eastAsia" w:ascii="仿宋" w:hAnsi="仿宋" w:eastAsia="仿宋" w:cs="仿宋"/>
                <w:szCs w:val="24"/>
              </w:rPr>
              <w:t>提出异议（质疑）的供应商不得以异议（质疑）为名进行虚假、恶意异议（质疑），干扰询比采购活动的正常进行。对于提供虚假材料，以异议为名谋取成交或恶意异议扰乱询比采购工作秩序的，采购代理机构将其记入“不守信投标记录档案”。</w:t>
            </w:r>
          </w:p>
        </w:tc>
      </w:tr>
      <w:tr w14:paraId="6DE2792C">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466B80CC">
            <w:pPr>
              <w:snapToGrid w:val="0"/>
              <w:jc w:val="center"/>
              <w:rPr>
                <w:rFonts w:hint="eastAsia" w:ascii="仿宋" w:hAnsi="仿宋" w:eastAsia="仿宋" w:cs="仿宋"/>
                <w:sz w:val="24"/>
                <w:szCs w:val="24"/>
              </w:rPr>
            </w:pPr>
            <w:r>
              <w:rPr>
                <w:rFonts w:hint="eastAsia" w:ascii="仿宋" w:hAnsi="仿宋" w:eastAsia="仿宋" w:cs="仿宋"/>
                <w:sz w:val="24"/>
                <w:szCs w:val="24"/>
              </w:rPr>
              <w:t>10.1</w:t>
            </w:r>
          </w:p>
        </w:tc>
        <w:tc>
          <w:tcPr>
            <w:tcW w:w="3118" w:type="dxa"/>
            <w:tcBorders>
              <w:top w:val="single" w:color="auto" w:sz="4" w:space="0"/>
              <w:left w:val="single" w:color="auto" w:sz="4" w:space="0"/>
              <w:bottom w:val="single" w:color="auto" w:sz="4" w:space="0"/>
              <w:right w:val="single" w:color="auto" w:sz="4" w:space="0"/>
            </w:tcBorders>
            <w:vAlign w:val="center"/>
          </w:tcPr>
          <w:p w14:paraId="6D5E55D4">
            <w:pPr>
              <w:snapToGrid w:val="0"/>
              <w:jc w:val="center"/>
              <w:rPr>
                <w:rFonts w:hint="eastAsia" w:ascii="仿宋" w:hAnsi="仿宋" w:eastAsia="仿宋" w:cs="仿宋"/>
                <w:sz w:val="24"/>
                <w:szCs w:val="24"/>
              </w:rPr>
            </w:pPr>
            <w:r>
              <w:rPr>
                <w:rFonts w:hint="eastAsia" w:ascii="仿宋" w:hAnsi="仿宋" w:eastAsia="仿宋" w:cs="仿宋"/>
                <w:sz w:val="24"/>
                <w:szCs w:val="24"/>
              </w:rPr>
              <w:t>需要补充的其他内容</w:t>
            </w:r>
          </w:p>
        </w:tc>
        <w:tc>
          <w:tcPr>
            <w:tcW w:w="4675" w:type="dxa"/>
            <w:tcBorders>
              <w:top w:val="single" w:color="auto" w:sz="4" w:space="0"/>
              <w:left w:val="single" w:color="auto" w:sz="4" w:space="0"/>
              <w:bottom w:val="single" w:color="auto" w:sz="4" w:space="0"/>
              <w:right w:val="single" w:color="auto" w:sz="4" w:space="0"/>
            </w:tcBorders>
            <w:vAlign w:val="center"/>
          </w:tcPr>
          <w:p w14:paraId="426F8FD8">
            <w:pPr>
              <w:snapToGrid w:val="0"/>
              <w:rPr>
                <w:rFonts w:hint="eastAsia" w:ascii="仿宋" w:hAnsi="仿宋" w:eastAsia="仿宋" w:cs="仿宋"/>
                <w:sz w:val="24"/>
                <w:szCs w:val="24"/>
              </w:rPr>
            </w:pPr>
          </w:p>
        </w:tc>
      </w:tr>
      <w:tr w14:paraId="66A0B649">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6EF12B74">
            <w:pPr>
              <w:snapToGrid w:val="0"/>
              <w:jc w:val="center"/>
              <w:rPr>
                <w:rFonts w:hint="eastAsia" w:ascii="仿宋" w:hAnsi="仿宋" w:eastAsia="仿宋" w:cs="仿宋"/>
                <w:sz w:val="24"/>
                <w:szCs w:val="24"/>
              </w:rPr>
            </w:pPr>
            <w:r>
              <w:rPr>
                <w:rFonts w:hint="eastAsia" w:ascii="仿宋" w:hAnsi="仿宋" w:eastAsia="仿宋" w:cs="仿宋"/>
                <w:sz w:val="24"/>
                <w:szCs w:val="24"/>
              </w:rPr>
              <w:t>10.1.1</w:t>
            </w:r>
          </w:p>
        </w:tc>
        <w:tc>
          <w:tcPr>
            <w:tcW w:w="3118" w:type="dxa"/>
            <w:tcBorders>
              <w:top w:val="single" w:color="auto" w:sz="4" w:space="0"/>
              <w:left w:val="single" w:color="auto" w:sz="4" w:space="0"/>
              <w:bottom w:val="single" w:color="auto" w:sz="4" w:space="0"/>
              <w:right w:val="single" w:color="auto" w:sz="4" w:space="0"/>
            </w:tcBorders>
            <w:vAlign w:val="center"/>
          </w:tcPr>
          <w:p w14:paraId="610580DF">
            <w:pPr>
              <w:snapToGrid w:val="0"/>
              <w:jc w:val="center"/>
              <w:rPr>
                <w:rFonts w:hint="eastAsia" w:ascii="仿宋" w:hAnsi="仿宋" w:eastAsia="仿宋" w:cs="仿宋"/>
                <w:sz w:val="24"/>
                <w:szCs w:val="24"/>
              </w:rPr>
            </w:pPr>
            <w:r>
              <w:rPr>
                <w:rFonts w:hint="eastAsia" w:ascii="仿宋" w:hAnsi="仿宋" w:eastAsia="仿宋" w:cs="仿宋"/>
                <w:sz w:val="24"/>
                <w:szCs w:val="24"/>
              </w:rPr>
              <w:t>是否采用电子采购</w:t>
            </w:r>
          </w:p>
        </w:tc>
        <w:tc>
          <w:tcPr>
            <w:tcW w:w="4675" w:type="dxa"/>
            <w:tcBorders>
              <w:top w:val="single" w:color="auto" w:sz="4" w:space="0"/>
              <w:left w:val="single" w:color="auto" w:sz="4" w:space="0"/>
              <w:bottom w:val="single" w:color="auto" w:sz="4" w:space="0"/>
              <w:right w:val="single" w:color="auto" w:sz="4" w:space="0"/>
            </w:tcBorders>
            <w:vAlign w:val="center"/>
          </w:tcPr>
          <w:p w14:paraId="2A42AF89">
            <w:pPr>
              <w:snapToGrid w:val="0"/>
              <w:spacing w:line="400" w:lineRule="exact"/>
              <w:rPr>
                <w:rFonts w:hint="eastAsia" w:ascii="仿宋" w:hAnsi="仿宋" w:eastAsia="仿宋" w:cs="仿宋"/>
                <w:b/>
                <w:bCs/>
                <w:sz w:val="24"/>
                <w:szCs w:val="24"/>
              </w:rPr>
            </w:pPr>
            <w:r>
              <w:rPr>
                <w:rFonts w:hint="eastAsia" w:ascii="Times New Roman" w:hAnsi="Times New Roman" w:eastAsia="仿宋"/>
                <w:b/>
                <w:bCs/>
                <w:sz w:val="24"/>
                <w:szCs w:val="24"/>
              </w:rPr>
              <w:sym w:font="Wingdings 2" w:char="0052"/>
            </w:r>
            <w:r>
              <w:rPr>
                <w:rFonts w:hint="eastAsia" w:ascii="仿宋" w:hAnsi="仿宋" w:eastAsia="仿宋" w:cs="仿宋"/>
                <w:b/>
                <w:bCs/>
                <w:sz w:val="24"/>
                <w:szCs w:val="24"/>
              </w:rPr>
              <w:t>纸质形式采购：本项目响应文件采用纸质形式提交，采购文件条款后标记（A）仅适用纸质形式。标记（B）条款的不适用本项目。</w:t>
            </w:r>
          </w:p>
          <w:p w14:paraId="64A070E9">
            <w:pPr>
              <w:snapToGrid w:val="0"/>
              <w:spacing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Times New Roman" w:hAnsi="Times New Roman" w:eastAsia="仿宋"/>
                <w:sz w:val="24"/>
                <w:szCs w:val="24"/>
              </w:rPr>
              <w:t>电子形式采购：</w:t>
            </w:r>
            <w:r>
              <w:rPr>
                <w:rFonts w:hint="eastAsia" w:ascii="仿宋" w:hAnsi="仿宋" w:eastAsia="仿宋" w:cs="仿宋"/>
                <w:sz w:val="24"/>
                <w:szCs w:val="24"/>
              </w:rPr>
              <w:t>本项目响应文件采用电子形式提交，采购文件条款后标记（B）仅适用电子采购。标记（A）条款的不适用本项目。</w:t>
            </w:r>
          </w:p>
        </w:tc>
      </w:tr>
      <w:tr w14:paraId="74E2C24B">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63B6FDC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10.1.2</w:t>
            </w:r>
          </w:p>
        </w:tc>
        <w:tc>
          <w:tcPr>
            <w:tcW w:w="3118" w:type="dxa"/>
            <w:tcBorders>
              <w:top w:val="single" w:color="auto" w:sz="4" w:space="0"/>
              <w:left w:val="single" w:color="auto" w:sz="4" w:space="0"/>
              <w:bottom w:val="single" w:color="auto" w:sz="4" w:space="0"/>
              <w:right w:val="single" w:color="auto" w:sz="4" w:space="0"/>
            </w:tcBorders>
            <w:vAlign w:val="center"/>
          </w:tcPr>
          <w:p w14:paraId="473009A3">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同义词语</w:t>
            </w:r>
          </w:p>
        </w:tc>
        <w:tc>
          <w:tcPr>
            <w:tcW w:w="4675" w:type="dxa"/>
            <w:tcBorders>
              <w:top w:val="single" w:color="auto" w:sz="4" w:space="0"/>
              <w:left w:val="single" w:color="auto" w:sz="4" w:space="0"/>
              <w:bottom w:val="single" w:color="auto" w:sz="4" w:space="0"/>
              <w:right w:val="single" w:color="auto" w:sz="4" w:space="0"/>
            </w:tcBorders>
            <w:vAlign w:val="center"/>
          </w:tcPr>
          <w:p w14:paraId="60FA536E">
            <w:pPr>
              <w:widowControl/>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构成询比采购文件组成部分的“通用合同条款”、“专用合同条款”和“供货要求”等章节中“买方”和“卖方”，等同于询比采购阶段的“采购人”和“供应商/成交供应商”。</w:t>
            </w:r>
          </w:p>
        </w:tc>
      </w:tr>
      <w:tr w14:paraId="1CCBDE1A">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3BB419E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10.1.3</w:t>
            </w:r>
          </w:p>
        </w:tc>
        <w:tc>
          <w:tcPr>
            <w:tcW w:w="3118" w:type="dxa"/>
            <w:tcBorders>
              <w:top w:val="single" w:color="auto" w:sz="4" w:space="0"/>
              <w:left w:val="single" w:color="auto" w:sz="4" w:space="0"/>
              <w:bottom w:val="single" w:color="auto" w:sz="4" w:space="0"/>
              <w:right w:val="single" w:color="auto" w:sz="4" w:space="0"/>
            </w:tcBorders>
            <w:vAlign w:val="center"/>
          </w:tcPr>
          <w:p w14:paraId="34A9F2F9">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解释权</w:t>
            </w:r>
          </w:p>
        </w:tc>
        <w:tc>
          <w:tcPr>
            <w:tcW w:w="4675" w:type="dxa"/>
            <w:tcBorders>
              <w:top w:val="single" w:color="auto" w:sz="4" w:space="0"/>
              <w:left w:val="single" w:color="auto" w:sz="4" w:space="0"/>
              <w:bottom w:val="single" w:color="auto" w:sz="4" w:space="0"/>
              <w:right w:val="single" w:color="auto" w:sz="4" w:space="0"/>
            </w:tcBorders>
            <w:vAlign w:val="center"/>
          </w:tcPr>
          <w:p w14:paraId="563DD65A">
            <w:pPr>
              <w:widowControl/>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（1）构成本询比采购文件的各个组成文件应互为解释，互为说明；</w:t>
            </w:r>
          </w:p>
          <w:p w14:paraId="434ED87A">
            <w:pPr>
              <w:widowControl/>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（2）同一组成文件中就同一事项的规定或约定不一致的，以编排顺序在后者为准；</w:t>
            </w:r>
          </w:p>
          <w:p w14:paraId="65F5D2D3">
            <w:pPr>
              <w:widowControl/>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（3）如有不明确或不一致，构成合同文件组成内容的，以合同文件约定内容为准，且以专用合同条款约定的合同文件优先顺序解释；</w:t>
            </w:r>
          </w:p>
          <w:p w14:paraId="73295455">
            <w:pPr>
              <w:widowControl/>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（4）除询比采购文件中有特别规定外，仅适用于询比阶段的规定，按照询比采购公告、供应商须知、评审办法、相应文件格式的先后顺序解释；</w:t>
            </w:r>
          </w:p>
          <w:p w14:paraId="7A79856D">
            <w:pPr>
              <w:tabs>
                <w:tab w:val="left" w:pos="6255"/>
              </w:tabs>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（5）按照本款前述规定仍不能形成结论的，由采购人负责解释。</w:t>
            </w:r>
          </w:p>
        </w:tc>
      </w:tr>
      <w:tr w14:paraId="15A5D87E">
        <w:tblPrEx>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cBorders>
            <w:vAlign w:val="center"/>
          </w:tcPr>
          <w:p w14:paraId="7CE1062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10.1.4</w:t>
            </w:r>
          </w:p>
        </w:tc>
        <w:tc>
          <w:tcPr>
            <w:tcW w:w="3118" w:type="dxa"/>
            <w:tcBorders>
              <w:top w:val="single" w:color="auto" w:sz="4" w:space="0"/>
              <w:left w:val="single" w:color="auto" w:sz="4" w:space="0"/>
              <w:bottom w:val="single" w:color="auto" w:sz="4" w:space="0"/>
              <w:right w:val="single" w:color="auto" w:sz="4" w:space="0"/>
            </w:tcBorders>
            <w:vAlign w:val="center"/>
          </w:tcPr>
          <w:p w14:paraId="63029944">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采购人补充</w:t>
            </w:r>
          </w:p>
        </w:tc>
        <w:tc>
          <w:tcPr>
            <w:tcW w:w="4675" w:type="dxa"/>
            <w:tcBorders>
              <w:top w:val="single" w:color="auto" w:sz="4" w:space="0"/>
              <w:left w:val="single" w:color="auto" w:sz="4" w:space="0"/>
              <w:bottom w:val="single" w:color="auto" w:sz="4" w:space="0"/>
              <w:right w:val="single" w:color="auto" w:sz="4" w:space="0"/>
            </w:tcBorders>
            <w:vAlign w:val="center"/>
          </w:tcPr>
          <w:p w14:paraId="6372B1BD">
            <w:pPr>
              <w:tabs>
                <w:tab w:val="left" w:pos="6255"/>
              </w:tabs>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本项目采购文件中要求提供的社保证明材料为下述形式之一（响应文件中须提供扫描件）：</w:t>
            </w:r>
          </w:p>
          <w:p w14:paraId="1A78AFD3">
            <w:pPr>
              <w:tabs>
                <w:tab w:val="left" w:pos="6255"/>
              </w:tabs>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（1）社保局官方网站查询的缴费记录截图；</w:t>
            </w:r>
          </w:p>
          <w:p w14:paraId="6B9894B3">
            <w:pPr>
              <w:tabs>
                <w:tab w:val="left" w:pos="6255"/>
              </w:tabs>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（2）社保局的书面证明材料；</w:t>
            </w:r>
          </w:p>
          <w:p w14:paraId="0BE153C6">
            <w:pPr>
              <w:tabs>
                <w:tab w:val="left" w:pos="6255"/>
              </w:tabs>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（3）经供应商委托的第三方人力资源服务机构或与供应商有直接隶属关系的机构可以代缴社保，但须提供有关证明材料并经评标委员会确认。</w:t>
            </w:r>
          </w:p>
          <w:p w14:paraId="19FF9330">
            <w:pPr>
              <w:tabs>
                <w:tab w:val="left" w:pos="6255"/>
              </w:tabs>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（4）参与响应的院校，社保证明可以用以下任意一种：</w:t>
            </w:r>
          </w:p>
          <w:p w14:paraId="6EF15B59">
            <w:pPr>
              <w:tabs>
                <w:tab w:val="left" w:pos="6255"/>
              </w:tabs>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①加盖供应商公章的教师证（须为本单位人员）；</w:t>
            </w:r>
          </w:p>
          <w:p w14:paraId="6CDC82B9">
            <w:pPr>
              <w:tabs>
                <w:tab w:val="left" w:pos="6255"/>
              </w:tabs>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②医保证明材料。</w:t>
            </w:r>
          </w:p>
          <w:p w14:paraId="0989AB69">
            <w:pPr>
              <w:tabs>
                <w:tab w:val="left" w:pos="6255"/>
              </w:tabs>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（5）其他经评审小组认可的证明材料。</w:t>
            </w:r>
          </w:p>
          <w:p w14:paraId="38CCA70E">
            <w:pPr>
              <w:tabs>
                <w:tab w:val="left" w:pos="6255"/>
              </w:tabs>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（6）法定代表人参与项目的，无需提供社保证明材料，提供身份证明扫描件即可。</w:t>
            </w:r>
          </w:p>
          <w:p w14:paraId="5AFF8950">
            <w:pPr>
              <w:tabs>
                <w:tab w:val="left" w:pos="6255"/>
              </w:tabs>
              <w:adjustRightInd w:val="0"/>
              <w:snapToGrid w:val="0"/>
              <w:spacing w:line="400" w:lineRule="exact"/>
              <w:jc w:val="left"/>
              <w:rPr>
                <w:rFonts w:hint="eastAsia" w:ascii="仿宋" w:hAnsi="仿宋" w:eastAsia="仿宋" w:cs="仿宋"/>
                <w:sz w:val="24"/>
                <w:szCs w:val="24"/>
              </w:rPr>
            </w:pPr>
            <w:r>
              <w:rPr>
                <w:rFonts w:hint="eastAsia" w:ascii="仿宋" w:hAnsi="仿宋" w:eastAsia="仿宋" w:cs="仿宋"/>
                <w:sz w:val="24"/>
                <w:szCs w:val="24"/>
              </w:rPr>
              <w:t>注：社保证明指的是至少含养老保险、医疗保险、工伤保险、失业保险中任意一项即可。</w:t>
            </w:r>
          </w:p>
        </w:tc>
      </w:tr>
    </w:tbl>
    <w:p w14:paraId="0DCEC1C4">
      <w:pPr>
        <w:spacing w:line="400" w:lineRule="exact"/>
        <w:rPr>
          <w:rFonts w:hint="eastAsia" w:ascii="仿宋" w:hAnsi="仿宋" w:eastAsia="仿宋" w:cs="仿宋"/>
          <w:b/>
          <w:sz w:val="32"/>
          <w:szCs w:val="32"/>
        </w:rPr>
      </w:pPr>
      <w:r>
        <w:rPr>
          <w:rFonts w:ascii="Times New Roman" w:hAnsi="Times New Roman"/>
        </w:rPr>
        <w:br w:type="page"/>
      </w:r>
      <w:bookmarkStart w:id="76" w:name="_Toc501460650"/>
      <w:r>
        <w:rPr>
          <w:rFonts w:hint="eastAsia" w:ascii="仿宋" w:hAnsi="仿宋" w:eastAsia="仿宋" w:cs="仿宋"/>
          <w:b/>
          <w:sz w:val="32"/>
          <w:szCs w:val="32"/>
        </w:rPr>
        <w:t>1. 总则</w:t>
      </w:r>
      <w:bookmarkEnd w:id="76"/>
    </w:p>
    <w:p w14:paraId="088D8794">
      <w:pPr>
        <w:pStyle w:val="4"/>
        <w:spacing w:line="240" w:lineRule="auto"/>
        <w:ind w:firstLine="137"/>
        <w:rPr>
          <w:rFonts w:hint="eastAsia" w:ascii="仿宋" w:hAnsi="仿宋" w:eastAsia="仿宋" w:cs="仿宋"/>
        </w:rPr>
      </w:pPr>
      <w:bookmarkStart w:id="77" w:name="_Toc2096"/>
      <w:bookmarkStart w:id="78" w:name="_Toc196323384"/>
      <w:bookmarkStart w:id="79" w:name="_Toc501460651"/>
      <w:r>
        <w:rPr>
          <w:rFonts w:hint="eastAsia" w:ascii="仿宋" w:hAnsi="仿宋" w:eastAsia="仿宋" w:cs="仿宋"/>
        </w:rPr>
        <w:t>1.1 采购方式</w:t>
      </w:r>
      <w:bookmarkEnd w:id="77"/>
      <w:bookmarkEnd w:id="78"/>
    </w:p>
    <w:p w14:paraId="0EF8FBD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询比采购是指采购人组建评审小组与响应采购的供应商按照采购文件规定的规则和时间一次递交的响应文件进行评审，采购人根据评审小组的评审结果，选择确定成交供应商的采购方式。</w:t>
      </w:r>
    </w:p>
    <w:p w14:paraId="3EC65F01">
      <w:pPr>
        <w:pStyle w:val="4"/>
        <w:spacing w:line="240" w:lineRule="auto"/>
        <w:ind w:firstLine="137"/>
        <w:rPr>
          <w:rFonts w:hint="eastAsia" w:ascii="仿宋" w:hAnsi="仿宋" w:eastAsia="仿宋" w:cs="仿宋"/>
        </w:rPr>
      </w:pPr>
      <w:bookmarkStart w:id="80" w:name="_Toc196323385"/>
      <w:bookmarkStart w:id="81" w:name="_Toc17691"/>
      <w:r>
        <w:rPr>
          <w:rFonts w:hint="eastAsia" w:ascii="仿宋" w:hAnsi="仿宋" w:eastAsia="仿宋" w:cs="仿宋"/>
        </w:rPr>
        <w:t>1.2 采购项目概况</w:t>
      </w:r>
      <w:bookmarkEnd w:id="79"/>
      <w:r>
        <w:rPr>
          <w:rFonts w:hint="eastAsia" w:ascii="仿宋" w:hAnsi="仿宋" w:eastAsia="仿宋" w:cs="仿宋"/>
        </w:rPr>
        <w:t>和供应商资格要求</w:t>
      </w:r>
      <w:bookmarkEnd w:id="80"/>
      <w:bookmarkEnd w:id="81"/>
    </w:p>
    <w:p w14:paraId="02E3E92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 供应商应具备承担本采购包的资质条件、能力和信誉：</w:t>
      </w:r>
    </w:p>
    <w:p w14:paraId="5126861E">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（1）资质条件：见第一章“询比采购公告”； </w:t>
      </w:r>
    </w:p>
    <w:p w14:paraId="6B6F5DA2">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（2）财务要求：见第一章“询比采购公告”；</w:t>
      </w:r>
    </w:p>
    <w:p w14:paraId="08812333">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（3）业绩要求：见第一章“询比采购公告”；</w:t>
      </w:r>
    </w:p>
    <w:p w14:paraId="11F33E09">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（4）其他要求：见第一章“询比采购公告”。</w:t>
      </w:r>
    </w:p>
    <w:p w14:paraId="440E86F2">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需要提交的相关证明材料见本章第3.5款的规定。</w:t>
      </w:r>
    </w:p>
    <w:p w14:paraId="23EF578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 供应商（包括联合体各成员）不得存在下列情形：</w:t>
      </w:r>
    </w:p>
    <w:p w14:paraId="2E900A9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（1）为</w:t>
      </w:r>
      <w:r>
        <w:rPr>
          <w:rFonts w:hint="eastAsia" w:ascii="仿宋" w:hAnsi="仿宋" w:eastAsia="仿宋" w:cs="仿宋"/>
          <w:sz w:val="24"/>
          <w:szCs w:val="24"/>
        </w:rPr>
        <w:t>采购人</w:t>
      </w:r>
      <w:r>
        <w:rPr>
          <w:rFonts w:hint="eastAsia" w:ascii="仿宋" w:hAnsi="仿宋" w:eastAsia="仿宋" w:cs="仿宋"/>
          <w:sz w:val="24"/>
          <w:szCs w:val="24"/>
          <w:lang w:val="zh-CN"/>
        </w:rPr>
        <w:t>不具有独立法人资格的附属机构（单位</w:t>
      </w:r>
      <w:r>
        <w:rPr>
          <w:rFonts w:hint="eastAsia" w:ascii="仿宋" w:hAnsi="仿宋" w:eastAsia="仿宋" w:cs="仿宋"/>
          <w:sz w:val="24"/>
          <w:szCs w:val="24"/>
        </w:rPr>
        <w:t xml:space="preserve">）； </w:t>
      </w:r>
    </w:p>
    <w:p w14:paraId="16A3906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（2）与</w:t>
      </w:r>
      <w:r>
        <w:rPr>
          <w:rFonts w:hint="eastAsia" w:ascii="仿宋" w:hAnsi="仿宋" w:eastAsia="仿宋" w:cs="仿宋"/>
          <w:sz w:val="24"/>
          <w:szCs w:val="24"/>
        </w:rPr>
        <w:t>采购人</w:t>
      </w:r>
      <w:r>
        <w:rPr>
          <w:rFonts w:hint="eastAsia" w:ascii="仿宋" w:hAnsi="仿宋" w:eastAsia="仿宋" w:cs="仿宋"/>
          <w:sz w:val="24"/>
          <w:szCs w:val="24"/>
          <w:lang w:val="zh-CN"/>
        </w:rPr>
        <w:t>存在利害关系且可能影响</w:t>
      </w:r>
      <w:r>
        <w:rPr>
          <w:rFonts w:hint="eastAsia" w:ascii="仿宋" w:hAnsi="仿宋" w:eastAsia="仿宋" w:cs="仿宋"/>
          <w:sz w:val="24"/>
          <w:szCs w:val="24"/>
        </w:rPr>
        <w:t>采购</w:t>
      </w:r>
      <w:r>
        <w:rPr>
          <w:rFonts w:hint="eastAsia" w:ascii="仿宋" w:hAnsi="仿宋" w:eastAsia="仿宋" w:cs="仿宋"/>
          <w:sz w:val="24"/>
          <w:szCs w:val="24"/>
          <w:lang w:val="zh-CN"/>
        </w:rPr>
        <w:t>公正性；</w:t>
      </w:r>
    </w:p>
    <w:p w14:paraId="4129630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（3）</w:t>
      </w:r>
      <w:r>
        <w:rPr>
          <w:rFonts w:hint="eastAsia" w:ascii="仿宋" w:hAnsi="仿宋" w:eastAsia="仿宋" w:cs="仿宋"/>
          <w:sz w:val="24"/>
          <w:szCs w:val="24"/>
        </w:rPr>
        <w:t>与本采购包其他供应商的单位负责人为同一人</w:t>
      </w:r>
      <w:r>
        <w:rPr>
          <w:rFonts w:hint="eastAsia" w:ascii="仿宋" w:hAnsi="仿宋" w:eastAsia="仿宋" w:cs="仿宋"/>
          <w:sz w:val="24"/>
          <w:szCs w:val="24"/>
          <w:lang w:val="zh-CN"/>
        </w:rPr>
        <w:t>；</w:t>
      </w:r>
    </w:p>
    <w:p w14:paraId="2C09BC82">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（4）与</w:t>
      </w:r>
      <w:r>
        <w:rPr>
          <w:rFonts w:hint="eastAsia" w:ascii="仿宋" w:hAnsi="仿宋" w:eastAsia="仿宋" w:cs="仿宋"/>
          <w:sz w:val="24"/>
          <w:szCs w:val="24"/>
        </w:rPr>
        <w:t>本采购包其他供应商</w:t>
      </w:r>
      <w:r>
        <w:rPr>
          <w:rFonts w:hint="eastAsia" w:ascii="仿宋" w:hAnsi="仿宋" w:eastAsia="仿宋" w:cs="仿宋"/>
          <w:sz w:val="24"/>
          <w:szCs w:val="24"/>
          <w:lang w:val="zh-CN"/>
        </w:rPr>
        <w:t>存在控股、管理关系；</w:t>
      </w:r>
    </w:p>
    <w:p w14:paraId="64B2E09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zh-CN"/>
        </w:rPr>
        <w:t>为本</w:t>
      </w:r>
      <w:r>
        <w:rPr>
          <w:rFonts w:hint="eastAsia" w:ascii="仿宋" w:hAnsi="仿宋" w:eastAsia="仿宋" w:cs="仿宋"/>
          <w:sz w:val="24"/>
          <w:szCs w:val="24"/>
        </w:rPr>
        <w:t>采购包</w:t>
      </w:r>
      <w:r>
        <w:rPr>
          <w:rFonts w:hint="eastAsia" w:ascii="仿宋" w:hAnsi="仿宋" w:eastAsia="仿宋" w:cs="仿宋"/>
          <w:sz w:val="24"/>
          <w:szCs w:val="24"/>
          <w:lang w:val="zh-CN"/>
        </w:rPr>
        <w:t>的</w:t>
      </w:r>
      <w:r>
        <w:rPr>
          <w:rFonts w:hint="eastAsia" w:ascii="仿宋" w:hAnsi="仿宋" w:eastAsia="仿宋" w:cs="仿宋"/>
          <w:sz w:val="24"/>
          <w:szCs w:val="24"/>
        </w:rPr>
        <w:t>采购</w:t>
      </w:r>
      <w:r>
        <w:rPr>
          <w:rFonts w:hint="eastAsia" w:ascii="仿宋" w:hAnsi="仿宋" w:eastAsia="仿宋" w:cs="仿宋"/>
          <w:sz w:val="24"/>
          <w:szCs w:val="24"/>
          <w:lang w:val="zh-CN"/>
        </w:rPr>
        <w:t>代理机构；</w:t>
      </w:r>
    </w:p>
    <w:p w14:paraId="08B5FF8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在最近三年内（自响应截止之日向前追溯3年）有严重违约或发生重大产品质量问题的（以相关行业主管部门的行政处罚决定或司法机关出具的有关法律文书为准），前述行政处罚已完成信用修复的，但自行政处罚作出机关或信用修复主管部门同意修复之日起满一年的，不受三年期限限制；</w:t>
      </w:r>
    </w:p>
    <w:p w14:paraId="6D08439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（7）</w:t>
      </w:r>
      <w:r>
        <w:rPr>
          <w:rFonts w:hint="eastAsia" w:ascii="仿宋" w:hAnsi="仿宋" w:eastAsia="仿宋" w:cs="仿宋"/>
          <w:sz w:val="24"/>
          <w:szCs w:val="24"/>
        </w:rPr>
        <w:t>被责令停产停业，暂扣或吊销执照，或吊销资质证书；</w:t>
      </w:r>
    </w:p>
    <w:p w14:paraId="5D118E3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（8）</w:t>
      </w:r>
      <w:r>
        <w:rPr>
          <w:rFonts w:hint="eastAsia" w:ascii="仿宋" w:hAnsi="仿宋" w:eastAsia="仿宋" w:cs="仿宋"/>
          <w:sz w:val="24"/>
          <w:szCs w:val="24"/>
        </w:rPr>
        <w:t>进入清算程序，或被宣告破产，或其他丧失履约能力的情形；</w:t>
      </w:r>
    </w:p>
    <w:p w14:paraId="3C5873C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（9）</w:t>
      </w:r>
      <w:r>
        <w:rPr>
          <w:rFonts w:hint="eastAsia" w:ascii="仿宋" w:hAnsi="仿宋" w:eastAsia="仿宋" w:cs="仿宋"/>
          <w:sz w:val="24"/>
          <w:szCs w:val="24"/>
        </w:rPr>
        <w:t>供应商或其法定代表人、项目负责人在近三年内（自询比开始之日向前追溯3年）有行贿犯罪行为；</w:t>
      </w:r>
    </w:p>
    <w:p w14:paraId="0B6F4994">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（10）</w:t>
      </w:r>
      <w:r>
        <w:rPr>
          <w:rFonts w:hint="eastAsia" w:ascii="仿宋" w:hAnsi="仿宋" w:eastAsia="仿宋" w:cs="仿宋"/>
          <w:sz w:val="24"/>
          <w:szCs w:val="24"/>
        </w:rPr>
        <w:t>法律法规规定的其他禁止情形。</w:t>
      </w:r>
    </w:p>
    <w:p w14:paraId="4B8120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1.2.3 供应商（包括联合体各成员）不得存在下列不良状况或不良信用记录：  </w:t>
      </w:r>
    </w:p>
    <w:p w14:paraId="08520B1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（1）在国家企业信用信息公示系统（http://www.gsxt.gov.cn/）中被列入严重违法失信企业名单；</w:t>
      </w:r>
    </w:p>
    <w:p w14:paraId="0557BD2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（2）在“信用中国”网站（http://www.creditchina.gov.cn/）中被列入失信被执行人名单；</w:t>
      </w:r>
    </w:p>
    <w:p w14:paraId="232F012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（3）在“信用中国”网站（http://www.creditchina.gov.cn/）中被列入重大税收违法失信主体名单。</w:t>
      </w:r>
    </w:p>
    <w:p w14:paraId="13D04935">
      <w:pPr>
        <w:pStyle w:val="4"/>
        <w:spacing w:line="240" w:lineRule="auto"/>
        <w:ind w:firstLine="137"/>
        <w:rPr>
          <w:rFonts w:hint="eastAsia" w:ascii="仿宋" w:hAnsi="仿宋" w:eastAsia="仿宋" w:cs="仿宋"/>
        </w:rPr>
      </w:pPr>
      <w:bookmarkStart w:id="82" w:name="_Toc27483"/>
      <w:bookmarkStart w:id="83" w:name="_Toc196323386"/>
      <w:r>
        <w:rPr>
          <w:rFonts w:hint="eastAsia" w:ascii="仿宋" w:hAnsi="仿宋" w:eastAsia="仿宋" w:cs="仿宋"/>
        </w:rPr>
        <w:t>1.3 费用承担</w:t>
      </w:r>
      <w:bookmarkEnd w:id="82"/>
      <w:bookmarkEnd w:id="83"/>
    </w:p>
    <w:p w14:paraId="0A2FA5C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供应商准备和参加询比采购活动所发生的各种费用由供应商自行承担。</w:t>
      </w:r>
    </w:p>
    <w:p w14:paraId="242BA53F">
      <w:pPr>
        <w:pStyle w:val="4"/>
        <w:spacing w:line="240" w:lineRule="auto"/>
        <w:ind w:firstLine="137"/>
        <w:rPr>
          <w:rFonts w:hint="eastAsia" w:ascii="仿宋" w:hAnsi="仿宋" w:eastAsia="仿宋" w:cs="仿宋"/>
        </w:rPr>
      </w:pPr>
      <w:bookmarkStart w:id="84" w:name="_Toc31043"/>
      <w:bookmarkStart w:id="85" w:name="_Toc501460656"/>
      <w:bookmarkStart w:id="86" w:name="_Toc196323387"/>
      <w:r>
        <w:rPr>
          <w:rFonts w:hint="eastAsia" w:ascii="仿宋" w:hAnsi="仿宋" w:eastAsia="仿宋" w:cs="仿宋"/>
        </w:rPr>
        <w:t>1.4 保密</w:t>
      </w:r>
      <w:bookmarkEnd w:id="84"/>
      <w:bookmarkEnd w:id="85"/>
      <w:bookmarkEnd w:id="86"/>
    </w:p>
    <w:p w14:paraId="032AD2F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参与询比采购活动的各方应对采购文件和响应文件中的</w:t>
      </w:r>
      <w:bookmarkStart w:id="87" w:name="_Toc361508589"/>
      <w:bookmarkStart w:id="88" w:name="_Toc5326"/>
      <w:bookmarkStart w:id="89" w:name="_Toc352691477"/>
      <w:bookmarkStart w:id="90" w:name="_Toc369531519"/>
      <w:bookmarkStart w:id="91" w:name="_Toc384308214"/>
      <w:r>
        <w:rPr>
          <w:rFonts w:hint="eastAsia" w:ascii="仿宋" w:hAnsi="仿宋" w:eastAsia="仿宋" w:cs="仿宋"/>
          <w:sz w:val="24"/>
          <w:szCs w:val="24"/>
        </w:rPr>
        <w:t>商业和技术等秘密保密</w:t>
      </w:r>
      <w:bookmarkEnd w:id="87"/>
      <w:bookmarkEnd w:id="88"/>
      <w:bookmarkEnd w:id="89"/>
      <w:bookmarkEnd w:id="90"/>
      <w:bookmarkEnd w:id="91"/>
      <w:r>
        <w:rPr>
          <w:rFonts w:hint="eastAsia" w:ascii="仿宋" w:hAnsi="仿宋" w:eastAsia="仿宋" w:cs="仿宋"/>
          <w:sz w:val="24"/>
          <w:szCs w:val="24"/>
        </w:rPr>
        <w:t>，否则应承担相应的法律责任。</w:t>
      </w:r>
    </w:p>
    <w:p w14:paraId="66BF01A3">
      <w:pPr>
        <w:pStyle w:val="4"/>
        <w:spacing w:line="240" w:lineRule="auto"/>
        <w:ind w:firstLine="137"/>
        <w:rPr>
          <w:rFonts w:hint="eastAsia" w:ascii="仿宋" w:hAnsi="仿宋" w:eastAsia="仿宋" w:cs="仿宋"/>
        </w:rPr>
      </w:pPr>
      <w:bookmarkStart w:id="92" w:name="_Toc196323388"/>
      <w:bookmarkStart w:id="93" w:name="_Toc501460657"/>
      <w:bookmarkStart w:id="94" w:name="_Toc18049"/>
      <w:r>
        <w:rPr>
          <w:rFonts w:hint="eastAsia" w:ascii="仿宋" w:hAnsi="仿宋" w:eastAsia="仿宋" w:cs="仿宋"/>
        </w:rPr>
        <w:t>1.5 语言文字</w:t>
      </w:r>
      <w:bookmarkEnd w:id="92"/>
      <w:bookmarkEnd w:id="93"/>
      <w:bookmarkEnd w:id="94"/>
    </w:p>
    <w:p w14:paraId="053579D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采购文件和响应文件使用的语言文字为中文。专用术语使用外文的，应附有中文注释。</w:t>
      </w:r>
    </w:p>
    <w:p w14:paraId="12324E9F">
      <w:pPr>
        <w:pStyle w:val="4"/>
        <w:spacing w:line="240" w:lineRule="auto"/>
        <w:ind w:firstLine="137"/>
        <w:rPr>
          <w:rFonts w:hint="eastAsia" w:ascii="仿宋" w:hAnsi="仿宋" w:eastAsia="仿宋" w:cs="仿宋"/>
        </w:rPr>
      </w:pPr>
      <w:bookmarkStart w:id="95" w:name="_Toc20252"/>
      <w:bookmarkStart w:id="96" w:name="_Toc196323389"/>
      <w:bookmarkStart w:id="97" w:name="_Toc501460658"/>
      <w:r>
        <w:rPr>
          <w:rFonts w:hint="eastAsia" w:ascii="仿宋" w:hAnsi="仿宋" w:eastAsia="仿宋" w:cs="仿宋"/>
        </w:rPr>
        <w:t>1.6 计量单位</w:t>
      </w:r>
      <w:bookmarkEnd w:id="95"/>
      <w:bookmarkEnd w:id="96"/>
      <w:bookmarkEnd w:id="97"/>
    </w:p>
    <w:p w14:paraId="14BF50B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所有计量均采用中华人民共和国法定计量单位。</w:t>
      </w:r>
    </w:p>
    <w:p w14:paraId="6FCA93D9">
      <w:pPr>
        <w:pStyle w:val="4"/>
        <w:spacing w:line="240" w:lineRule="auto"/>
        <w:ind w:firstLine="137"/>
        <w:rPr>
          <w:rFonts w:hint="eastAsia" w:ascii="仿宋" w:hAnsi="仿宋" w:eastAsia="仿宋" w:cs="仿宋"/>
        </w:rPr>
      </w:pPr>
      <w:bookmarkStart w:id="98" w:name="_Toc152045539"/>
      <w:bookmarkStart w:id="99" w:name="_Toc370676289"/>
      <w:bookmarkStart w:id="100" w:name="_Toc361508594"/>
      <w:bookmarkStart w:id="101" w:name="_Toc144974507"/>
      <w:bookmarkStart w:id="102" w:name="_Toc391393967"/>
      <w:bookmarkStart w:id="103" w:name="_Toc247527563"/>
      <w:bookmarkStart w:id="104" w:name="_Toc482188480"/>
      <w:bookmarkStart w:id="105" w:name="_Toc384308219"/>
      <w:bookmarkStart w:id="106" w:name="_Toc196323390"/>
      <w:bookmarkStart w:id="107" w:name="_Toc152042315"/>
      <w:bookmarkStart w:id="108" w:name="_Toc9402"/>
      <w:bookmarkStart w:id="109" w:name="_Toc501460401"/>
      <w:bookmarkStart w:id="110" w:name="_Toc247513962"/>
      <w:bookmarkStart w:id="111" w:name="_Toc300834959"/>
      <w:bookmarkStart w:id="112" w:name="_Toc485303284"/>
      <w:bookmarkStart w:id="113" w:name="_Toc501460659"/>
      <w:r>
        <w:rPr>
          <w:rFonts w:hint="eastAsia" w:ascii="仿宋" w:hAnsi="仿宋" w:eastAsia="仿宋" w:cs="仿宋"/>
        </w:rPr>
        <w:t>1.7 踏勘现场</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47AF4A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1.7.1 供应商须知前附表规定组织踏勘现场的，采购人按供应商须知前附表规定的时间、地点组织供应商踏勘项目现场。部分供应商未按时参加踏勘现场的，不影响踏勘现场的正常进行。</w:t>
      </w:r>
    </w:p>
    <w:p w14:paraId="7557E60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1.7.2 供应商可自愿参加踏勘现场活动。除采购人的原因外，采购人对供应商参加踏勘现场中所发生的人员伤亡和财产损失不承担责任。</w:t>
      </w:r>
    </w:p>
    <w:p w14:paraId="4E6A1F8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1.7.3 采购人在踏勘现场中介绍的工程场地和相关的周边环境情况，仅作为供应商编制响应文件的参考，采购人不对供应商据此作出的判断和决策负责。</w:t>
      </w:r>
    </w:p>
    <w:p w14:paraId="7ECE04CE">
      <w:pPr>
        <w:pStyle w:val="4"/>
        <w:spacing w:line="240" w:lineRule="auto"/>
        <w:ind w:firstLine="137"/>
        <w:rPr>
          <w:rFonts w:hint="eastAsia" w:ascii="仿宋" w:hAnsi="仿宋" w:eastAsia="仿宋" w:cs="仿宋"/>
        </w:rPr>
      </w:pPr>
      <w:bookmarkStart w:id="114" w:name="_Toc21569"/>
      <w:bookmarkStart w:id="115" w:name="_Toc196323391"/>
      <w:r>
        <w:rPr>
          <w:rFonts w:hint="eastAsia" w:ascii="仿宋" w:hAnsi="仿宋" w:eastAsia="仿宋" w:cs="仿宋"/>
        </w:rPr>
        <w:t>1.8 询比采购预备会</w:t>
      </w:r>
      <w:bookmarkEnd w:id="112"/>
      <w:bookmarkEnd w:id="113"/>
      <w:bookmarkEnd w:id="114"/>
      <w:bookmarkEnd w:id="115"/>
    </w:p>
    <w:p w14:paraId="5F66415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供应商须知前附表规定召开询比采购预备会的，采购人按供应商须知前附表规定的时间和地点召开询比采购预备会。</w:t>
      </w:r>
    </w:p>
    <w:p w14:paraId="58BA1136">
      <w:pPr>
        <w:pStyle w:val="4"/>
        <w:spacing w:line="240" w:lineRule="auto"/>
        <w:ind w:firstLine="137"/>
        <w:rPr>
          <w:rFonts w:hint="eastAsia" w:ascii="仿宋" w:hAnsi="仿宋" w:eastAsia="仿宋" w:cs="仿宋"/>
        </w:rPr>
      </w:pPr>
      <w:bookmarkStart w:id="116" w:name="_Toc30843"/>
      <w:bookmarkStart w:id="117" w:name="_Toc196323392"/>
      <w:r>
        <w:rPr>
          <w:rFonts w:ascii="仿宋" w:hAnsi="仿宋" w:eastAsia="仿宋" w:cs="仿宋"/>
        </w:rPr>
        <w:t>1.</w:t>
      </w:r>
      <w:r>
        <w:rPr>
          <w:rFonts w:hint="eastAsia" w:ascii="仿宋" w:hAnsi="仿宋" w:eastAsia="仿宋" w:cs="仿宋"/>
        </w:rPr>
        <w:t>9</w:t>
      </w:r>
      <w:r>
        <w:rPr>
          <w:rFonts w:ascii="仿宋" w:hAnsi="仿宋" w:eastAsia="仿宋" w:cs="仿宋"/>
        </w:rPr>
        <w:t xml:space="preserve"> </w:t>
      </w:r>
      <w:r>
        <w:rPr>
          <w:rFonts w:hint="eastAsia" w:ascii="仿宋" w:hAnsi="仿宋" w:eastAsia="仿宋" w:cs="仿宋"/>
        </w:rPr>
        <w:t>分包</w:t>
      </w:r>
      <w:bookmarkEnd w:id="116"/>
      <w:bookmarkEnd w:id="117"/>
    </w:p>
    <w:p w14:paraId="017882F9">
      <w:pPr>
        <w:autoSpaceDE w:val="0"/>
        <w:autoSpaceDN w:val="0"/>
        <w:adjustRightInd w:val="0"/>
        <w:spacing w:line="400" w:lineRule="exact"/>
        <w:ind w:left="102" w:right="162" w:firstLine="420"/>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9</w:t>
      </w:r>
      <w:r>
        <w:rPr>
          <w:rFonts w:ascii="仿宋" w:hAnsi="仿宋" w:eastAsia="仿宋" w:cs="仿宋"/>
          <w:sz w:val="24"/>
          <w:szCs w:val="24"/>
        </w:rPr>
        <w:t xml:space="preserve">.1 </w:t>
      </w:r>
      <w:r>
        <w:rPr>
          <w:rFonts w:hint="eastAsia" w:ascii="仿宋" w:hAnsi="仿宋" w:eastAsia="仿宋" w:cs="仿宋"/>
          <w:sz w:val="24"/>
          <w:szCs w:val="24"/>
        </w:rPr>
        <w:t>供应商拟在成交后将成交项目的非主体设备进行分包的，应符合供应商须知前附表 规定的分包内容、分包金额和资质要求等限制性条件，除供应商须知前附表规定的非主体设备 外，其他工作不得分包。</w:t>
      </w:r>
    </w:p>
    <w:p w14:paraId="48EF0471">
      <w:pPr>
        <w:autoSpaceDE w:val="0"/>
        <w:autoSpaceDN w:val="0"/>
        <w:adjustRightInd w:val="0"/>
        <w:spacing w:before="10" w:line="400" w:lineRule="exact"/>
        <w:ind w:left="102" w:right="163" w:firstLine="420"/>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9</w:t>
      </w:r>
      <w:r>
        <w:rPr>
          <w:rFonts w:ascii="仿宋" w:hAnsi="仿宋" w:eastAsia="仿宋" w:cs="仿宋"/>
          <w:sz w:val="24"/>
          <w:szCs w:val="24"/>
        </w:rPr>
        <w:t xml:space="preserve">.2 </w:t>
      </w:r>
      <w:r>
        <w:rPr>
          <w:rFonts w:hint="eastAsia" w:ascii="仿宋" w:hAnsi="仿宋" w:eastAsia="仿宋" w:cs="仿宋"/>
          <w:sz w:val="24"/>
          <w:szCs w:val="24"/>
        </w:rPr>
        <w:t>供应商不得向他人转让成交项目，接受分包的人不得再次分包。供应商应当就分包项目向采购人负责，接受分包的人就分包项目承担连带责任。</w:t>
      </w:r>
    </w:p>
    <w:p w14:paraId="03362532">
      <w:pPr>
        <w:pStyle w:val="4"/>
        <w:spacing w:line="240" w:lineRule="auto"/>
        <w:ind w:firstLine="137"/>
        <w:rPr>
          <w:rFonts w:hint="eastAsia" w:ascii="仿宋" w:hAnsi="仿宋" w:eastAsia="仿宋" w:cs="仿宋"/>
        </w:rPr>
      </w:pPr>
      <w:bookmarkStart w:id="118" w:name="_Toc501460661"/>
      <w:bookmarkStart w:id="119" w:name="_Toc26510"/>
      <w:bookmarkStart w:id="120" w:name="_Toc196323393"/>
      <w:r>
        <w:rPr>
          <w:rFonts w:hint="eastAsia" w:ascii="仿宋" w:hAnsi="仿宋" w:eastAsia="仿宋" w:cs="仿宋"/>
        </w:rPr>
        <w:t>1.10 响应和偏差</w:t>
      </w:r>
      <w:bookmarkEnd w:id="118"/>
      <w:bookmarkEnd w:id="119"/>
      <w:bookmarkEnd w:id="120"/>
    </w:p>
    <w:p w14:paraId="2BA3FA8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1.10.1响应文件应当对采购文件实质性要求和条件作出满足性或更有利于采购人的响应，否则，供应商的响应文件将被视为无效。</w:t>
      </w:r>
    </w:p>
    <w:p w14:paraId="3B6FBF8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1.10.2供应商须知前附表规定了可以偏差的范围和最高偏差项数的，偏差应当符合供应商须知前附表规定的偏差范围和最高项数，超出偏差范围和最高偏差项数的响应文件将被视为无效。</w:t>
      </w:r>
    </w:p>
    <w:p w14:paraId="78702819">
      <w:pPr>
        <w:pStyle w:val="3"/>
        <w:rPr>
          <w:rFonts w:hint="eastAsia" w:ascii="仿宋" w:hAnsi="仿宋" w:eastAsia="仿宋" w:cs="仿宋"/>
        </w:rPr>
      </w:pPr>
      <w:bookmarkStart w:id="121" w:name="_Toc501460662"/>
      <w:bookmarkStart w:id="122" w:name="_Toc196323394"/>
      <w:bookmarkStart w:id="123" w:name="_Toc27263"/>
      <w:r>
        <w:rPr>
          <w:rFonts w:hint="eastAsia" w:ascii="仿宋" w:hAnsi="仿宋" w:eastAsia="仿宋" w:cs="仿宋"/>
        </w:rPr>
        <w:t xml:space="preserve">2. </w:t>
      </w:r>
      <w:bookmarkEnd w:id="121"/>
      <w:r>
        <w:rPr>
          <w:rFonts w:hint="eastAsia" w:ascii="仿宋" w:hAnsi="仿宋" w:eastAsia="仿宋" w:cs="仿宋"/>
        </w:rPr>
        <w:t>采购文件</w:t>
      </w:r>
      <w:bookmarkEnd w:id="122"/>
      <w:bookmarkEnd w:id="123"/>
    </w:p>
    <w:p w14:paraId="1BB95FD0">
      <w:pPr>
        <w:pStyle w:val="4"/>
        <w:spacing w:line="240" w:lineRule="auto"/>
        <w:ind w:firstLine="137"/>
        <w:rPr>
          <w:rFonts w:hint="eastAsia" w:ascii="仿宋" w:hAnsi="仿宋" w:eastAsia="仿宋" w:cs="仿宋"/>
        </w:rPr>
      </w:pPr>
      <w:bookmarkStart w:id="124" w:name="_Toc196323395"/>
      <w:bookmarkStart w:id="125" w:name="_Toc1758"/>
      <w:bookmarkStart w:id="126" w:name="_Toc501460663"/>
      <w:r>
        <w:rPr>
          <w:rFonts w:hint="eastAsia" w:ascii="仿宋" w:hAnsi="仿宋" w:eastAsia="仿宋" w:cs="仿宋"/>
        </w:rPr>
        <w:t>2.1 采购文件的组成</w:t>
      </w:r>
      <w:bookmarkEnd w:id="124"/>
      <w:bookmarkEnd w:id="125"/>
    </w:p>
    <w:p w14:paraId="6386360F">
      <w:pPr>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本采购文件包括：</w:t>
      </w:r>
    </w:p>
    <w:p w14:paraId="0C996DBC">
      <w:pPr>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（1）询比采购公告；</w:t>
      </w:r>
    </w:p>
    <w:p w14:paraId="5045356A">
      <w:pPr>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（2）供应商须知；</w:t>
      </w:r>
    </w:p>
    <w:p w14:paraId="362EDB85">
      <w:pPr>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（3）评审办法；</w:t>
      </w:r>
    </w:p>
    <w:p w14:paraId="07C9AFF5">
      <w:pPr>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（4）合同条款及格式；</w:t>
      </w:r>
    </w:p>
    <w:p w14:paraId="16296638">
      <w:pPr>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（5）采购需求；</w:t>
      </w:r>
    </w:p>
    <w:p w14:paraId="37C318F6">
      <w:pPr>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（6）响应文件格式；</w:t>
      </w:r>
    </w:p>
    <w:p w14:paraId="6403F588">
      <w:pPr>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（7）供应商须知前附表规定的其他资料。</w:t>
      </w:r>
    </w:p>
    <w:p w14:paraId="37BB8A0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采购人依照本章规定，对采购文件所做的澄清、修改，构成采购文件的组成部分。</w:t>
      </w:r>
    </w:p>
    <w:bookmarkEnd w:id="126"/>
    <w:p w14:paraId="28237E56">
      <w:pPr>
        <w:pStyle w:val="4"/>
        <w:spacing w:line="240" w:lineRule="auto"/>
        <w:ind w:firstLine="137"/>
        <w:rPr>
          <w:rFonts w:hint="eastAsia" w:ascii="仿宋" w:hAnsi="仿宋" w:eastAsia="仿宋" w:cs="仿宋"/>
        </w:rPr>
      </w:pPr>
      <w:bookmarkStart w:id="127" w:name="_Toc501460664"/>
      <w:bookmarkStart w:id="128" w:name="_Toc485303289"/>
      <w:bookmarkStart w:id="129" w:name="_Toc16664"/>
      <w:bookmarkStart w:id="130" w:name="_Toc196323396"/>
      <w:bookmarkStart w:id="131" w:name="_Toc16623"/>
      <w:bookmarkStart w:id="132" w:name="_Toc384308220"/>
      <w:bookmarkStart w:id="133" w:name="_Toc352691484"/>
      <w:bookmarkStart w:id="134" w:name="_Toc300834960"/>
      <w:bookmarkStart w:id="135" w:name="_Toc369531526"/>
      <w:bookmarkStart w:id="136" w:name="_Toc144974508"/>
      <w:bookmarkStart w:id="137" w:name="_Toc152045540"/>
      <w:bookmarkStart w:id="138" w:name="_Toc361508595"/>
      <w:bookmarkStart w:id="139" w:name="_Toc247513963"/>
      <w:bookmarkStart w:id="140" w:name="_Toc152042316"/>
      <w:bookmarkStart w:id="141" w:name="_Toc247527564"/>
      <w:r>
        <w:rPr>
          <w:rFonts w:hint="eastAsia" w:ascii="仿宋" w:hAnsi="仿宋" w:eastAsia="仿宋" w:cs="仿宋"/>
        </w:rPr>
        <w:t>2.2 采购文件的澄清</w:t>
      </w:r>
      <w:bookmarkEnd w:id="127"/>
      <w:bookmarkEnd w:id="128"/>
      <w:r>
        <w:rPr>
          <w:rFonts w:hint="eastAsia" w:ascii="仿宋" w:hAnsi="仿宋" w:eastAsia="仿宋" w:cs="仿宋"/>
        </w:rPr>
        <w:t>和修改</w:t>
      </w:r>
      <w:bookmarkEnd w:id="129"/>
      <w:bookmarkEnd w:id="130"/>
    </w:p>
    <w:p w14:paraId="6831C057">
      <w:pPr>
        <w:spacing w:line="400" w:lineRule="exact"/>
        <w:ind w:firstLine="480" w:firstLineChars="200"/>
        <w:rPr>
          <w:rFonts w:hint="eastAsia" w:ascii="仿宋" w:hAnsi="仿宋" w:eastAsia="仿宋" w:cs="仿宋"/>
          <w:sz w:val="24"/>
          <w:szCs w:val="24"/>
        </w:rPr>
      </w:pPr>
      <w:bookmarkStart w:id="142" w:name="_Toc485303290"/>
      <w:bookmarkStart w:id="143" w:name="_Toc352691479"/>
      <w:r>
        <w:rPr>
          <w:rFonts w:hint="eastAsia" w:ascii="仿宋" w:hAnsi="仿宋" w:eastAsia="仿宋" w:cs="仿宋"/>
          <w:sz w:val="24"/>
          <w:szCs w:val="24"/>
        </w:rPr>
        <w:t>2.2.1 供应商应仔细阅读和检查采购文件的全部内容。如发现缺页或附件不全，应及时向采购人提出，以便补齐。如有疑问，应在供应商须知前附表规定的时间和形式要求采购人对采购文件予以澄清。</w:t>
      </w:r>
    </w:p>
    <w:p w14:paraId="16CB505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2.2.2 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00F6AD3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2.2.3 供应商在收到补充文件后，应按</w:t>
      </w:r>
      <w:r>
        <w:rPr>
          <w:rFonts w:hint="eastAsia" w:ascii="仿宋" w:hAnsi="仿宋" w:eastAsia="仿宋" w:cs="仿宋"/>
          <w:iCs/>
          <w:sz w:val="24"/>
          <w:szCs w:val="24"/>
        </w:rPr>
        <w:t>供应商须知前附表</w:t>
      </w:r>
      <w:r>
        <w:rPr>
          <w:rFonts w:hint="eastAsia" w:ascii="仿宋" w:hAnsi="仿宋" w:eastAsia="仿宋" w:cs="仿宋"/>
          <w:sz w:val="24"/>
          <w:szCs w:val="24"/>
        </w:rPr>
        <w:t>规定的时间和方式通知采购人，确认已收到该补充文件。</w:t>
      </w:r>
    </w:p>
    <w:p w14:paraId="0640B47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2.2.4 除非确有必要，采购人有权拒绝回复供应商在本章第2.2.1项规定的时间后提出的任何澄清要求。</w:t>
      </w:r>
    </w:p>
    <w:bookmarkEnd w:id="131"/>
    <w:bookmarkEnd w:id="132"/>
    <w:bookmarkEnd w:id="133"/>
    <w:bookmarkEnd w:id="134"/>
    <w:bookmarkEnd w:id="135"/>
    <w:bookmarkEnd w:id="136"/>
    <w:bookmarkEnd w:id="137"/>
    <w:bookmarkEnd w:id="138"/>
    <w:bookmarkEnd w:id="139"/>
    <w:bookmarkEnd w:id="140"/>
    <w:bookmarkEnd w:id="141"/>
    <w:bookmarkEnd w:id="142"/>
    <w:bookmarkEnd w:id="143"/>
    <w:p w14:paraId="568763FB">
      <w:pPr>
        <w:pStyle w:val="3"/>
        <w:rPr>
          <w:rFonts w:hint="eastAsia" w:ascii="仿宋" w:hAnsi="仿宋" w:eastAsia="仿宋" w:cs="仿宋"/>
        </w:rPr>
      </w:pPr>
      <w:bookmarkStart w:id="144" w:name="_Toc501460667"/>
      <w:bookmarkStart w:id="145" w:name="_Toc10133"/>
      <w:bookmarkStart w:id="146" w:name="_Toc196323397"/>
      <w:r>
        <w:rPr>
          <w:rFonts w:hint="eastAsia" w:ascii="仿宋" w:hAnsi="仿宋" w:eastAsia="仿宋" w:cs="仿宋"/>
        </w:rPr>
        <w:t xml:space="preserve">3. </w:t>
      </w:r>
      <w:bookmarkEnd w:id="144"/>
      <w:r>
        <w:rPr>
          <w:rFonts w:hint="eastAsia" w:ascii="仿宋" w:hAnsi="仿宋" w:eastAsia="仿宋" w:cs="仿宋"/>
        </w:rPr>
        <w:t>响应文件</w:t>
      </w:r>
      <w:bookmarkEnd w:id="145"/>
      <w:bookmarkEnd w:id="146"/>
    </w:p>
    <w:p w14:paraId="516AE885">
      <w:pPr>
        <w:pStyle w:val="4"/>
        <w:spacing w:line="240" w:lineRule="auto"/>
        <w:ind w:firstLine="137"/>
        <w:rPr>
          <w:rFonts w:hint="eastAsia" w:ascii="仿宋" w:hAnsi="仿宋" w:eastAsia="仿宋" w:cs="仿宋"/>
        </w:rPr>
      </w:pPr>
      <w:bookmarkStart w:id="147" w:name="_Toc196323398"/>
      <w:bookmarkStart w:id="148" w:name="_Toc11023"/>
      <w:bookmarkStart w:id="149" w:name="_Toc501460668"/>
      <w:r>
        <w:rPr>
          <w:rFonts w:hint="eastAsia" w:ascii="仿宋" w:hAnsi="仿宋" w:eastAsia="仿宋" w:cs="仿宋"/>
        </w:rPr>
        <w:t>3.1 响应文件的组成</w:t>
      </w:r>
      <w:bookmarkEnd w:id="147"/>
      <w:bookmarkEnd w:id="148"/>
      <w:bookmarkEnd w:id="149"/>
    </w:p>
    <w:p w14:paraId="474E6EF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3.1.1 响应文件应包括下列内容：</w:t>
      </w:r>
    </w:p>
    <w:p w14:paraId="30E5C59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（1）响应函；</w:t>
      </w:r>
    </w:p>
    <w:p w14:paraId="38D7229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（2）授权委托书（如有）；</w:t>
      </w:r>
    </w:p>
    <w:p w14:paraId="324AFC8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（3）联合体协议书（如有）；</w:t>
      </w:r>
    </w:p>
    <w:p w14:paraId="0B55CD2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（4）响应保证金（如有）；</w:t>
      </w:r>
    </w:p>
    <w:p w14:paraId="7E52085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（5）商务和技术偏差表；</w:t>
      </w:r>
    </w:p>
    <w:p w14:paraId="7422285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（6）报价表；</w:t>
      </w:r>
    </w:p>
    <w:p w14:paraId="0BF0FF7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（7）资格审查资料；</w:t>
      </w:r>
    </w:p>
    <w:p w14:paraId="63D7D7B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（8）服务方案；</w:t>
      </w:r>
    </w:p>
    <w:p w14:paraId="1C17CAF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（9）样品（如有）；</w:t>
      </w:r>
    </w:p>
    <w:p w14:paraId="66D26B4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（10）供应商须知前附表规定的其他资料。</w:t>
      </w:r>
    </w:p>
    <w:p w14:paraId="527ED8C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（11）供应商认为应该提供的其他材料。</w:t>
      </w:r>
    </w:p>
    <w:p w14:paraId="36A501D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供应商在评审过程中作出的符合采购文件要求的澄清、说明和补正，构成响应文件的组成部分。</w:t>
      </w:r>
    </w:p>
    <w:p w14:paraId="659F708C">
      <w:pPr>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3.1.2 供应商的法定代表人（单位负责人）亲自签署响应文件、亲自参加询比的，响应文件不包括第3.1.1（2）目所指的授权委托书；第一章“询比采购公告”规定不接受联合体的，或供应商没有组成联合体的，响应文件不包括第3.1.1（3）目所指的联合体协议书。供应商须知前附表未要求供应商递交响应保证金的，响应文件不包括第3.1.1（4）目所指的响应保证金。</w:t>
      </w:r>
    </w:p>
    <w:p w14:paraId="75C4D521">
      <w:pPr>
        <w:spacing w:line="400" w:lineRule="exact"/>
        <w:ind w:firstLine="410" w:firstLineChars="171"/>
        <w:rPr>
          <w:rFonts w:hint="eastAsia" w:ascii="仿宋" w:hAnsi="仿宋" w:eastAsia="仿宋" w:cs="仿宋"/>
          <w:sz w:val="24"/>
          <w:szCs w:val="24"/>
        </w:rPr>
      </w:pPr>
      <w:r>
        <w:rPr>
          <w:rFonts w:hint="eastAsia" w:ascii="仿宋" w:hAnsi="仿宋" w:eastAsia="仿宋" w:cs="仿宋"/>
          <w:sz w:val="24"/>
          <w:szCs w:val="24"/>
        </w:rPr>
        <w:t>3.1.3 供应商须知前附表规定不要求递交样品的，响应文件不包括本章第3.1.1（9）目所指的样品，否则供应商应按照供应商须知前附表的规定提供样品。</w:t>
      </w:r>
    </w:p>
    <w:p w14:paraId="11113D74">
      <w:pPr>
        <w:pStyle w:val="4"/>
        <w:spacing w:line="240" w:lineRule="auto"/>
        <w:ind w:firstLine="137"/>
        <w:rPr>
          <w:rFonts w:hint="eastAsia" w:ascii="仿宋" w:hAnsi="仿宋" w:eastAsia="仿宋" w:cs="仿宋"/>
        </w:rPr>
      </w:pPr>
      <w:bookmarkStart w:id="150" w:name="_Toc501460669"/>
      <w:bookmarkStart w:id="151" w:name="_Toc22657"/>
      <w:bookmarkStart w:id="152" w:name="_Toc196323399"/>
      <w:r>
        <w:rPr>
          <w:rFonts w:hint="eastAsia" w:ascii="仿宋" w:hAnsi="仿宋" w:eastAsia="仿宋" w:cs="仿宋"/>
        </w:rPr>
        <w:t>3.2 报价</w:t>
      </w:r>
      <w:bookmarkEnd w:id="150"/>
      <w:bookmarkEnd w:id="151"/>
      <w:bookmarkEnd w:id="152"/>
    </w:p>
    <w:p w14:paraId="6F945F8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3.2.1 供应商应按采购文件提供的格式（见第六章“响应文件格式”）在响应函和报价表中进行报价。</w:t>
      </w:r>
    </w:p>
    <w:p w14:paraId="062C1A2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3.2.2 供应商应充分了解采购项目的总体情况以及影响报价的其他要素。对于货物和服务采购项目，采购人在签署成交合同时及合同履行过程中，有权对采购标的的数量进行增加或减少。</w:t>
      </w:r>
    </w:p>
    <w:p w14:paraId="4EDD98E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3.2.3 采购人设有最高限价的，供应商的报价不得超过最高限价。最高限价或最高限价计算方法在</w:t>
      </w:r>
      <w:bookmarkStart w:id="153" w:name="_Toc384308225"/>
      <w:bookmarkStart w:id="154" w:name="_Toc144974512"/>
      <w:bookmarkStart w:id="155" w:name="_Toc10429"/>
      <w:bookmarkStart w:id="156" w:name="_Toc247527569"/>
      <w:bookmarkStart w:id="157" w:name="_Toc352691488"/>
      <w:bookmarkStart w:id="158" w:name="_Toc247513968"/>
      <w:bookmarkStart w:id="159" w:name="_Toc361508600"/>
      <w:bookmarkStart w:id="160" w:name="_Toc152042320"/>
      <w:bookmarkStart w:id="161" w:name="_Toc300834965"/>
      <w:bookmarkStart w:id="162" w:name="_Toc152045544"/>
      <w:bookmarkStart w:id="163" w:name="_Toc369531531"/>
      <w:r>
        <w:rPr>
          <w:rFonts w:hint="eastAsia" w:ascii="仿宋" w:hAnsi="仿宋" w:eastAsia="仿宋" w:cs="仿宋"/>
          <w:iCs/>
          <w:sz w:val="24"/>
          <w:szCs w:val="24"/>
        </w:rPr>
        <w:t>供应商须知前附表</w:t>
      </w:r>
      <w:r>
        <w:rPr>
          <w:rFonts w:hint="eastAsia" w:ascii="仿宋" w:hAnsi="仿宋" w:eastAsia="仿宋" w:cs="仿宋"/>
          <w:sz w:val="24"/>
          <w:szCs w:val="24"/>
        </w:rPr>
        <w:t>中载明。</w:t>
      </w:r>
      <w:bookmarkEnd w:id="153"/>
      <w:bookmarkEnd w:id="154"/>
      <w:bookmarkEnd w:id="155"/>
      <w:bookmarkEnd w:id="156"/>
      <w:bookmarkEnd w:id="157"/>
      <w:bookmarkEnd w:id="158"/>
      <w:bookmarkEnd w:id="159"/>
      <w:bookmarkEnd w:id="160"/>
      <w:bookmarkEnd w:id="161"/>
      <w:bookmarkEnd w:id="162"/>
      <w:bookmarkEnd w:id="163"/>
    </w:p>
    <w:p w14:paraId="6F04C53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3.2.4 报价的其他要求见</w:t>
      </w:r>
      <w:r>
        <w:rPr>
          <w:rFonts w:hint="eastAsia" w:ascii="仿宋" w:hAnsi="仿宋" w:eastAsia="仿宋" w:cs="仿宋"/>
          <w:iCs/>
          <w:sz w:val="24"/>
          <w:szCs w:val="24"/>
        </w:rPr>
        <w:t>供应商须知前附表</w:t>
      </w:r>
      <w:r>
        <w:rPr>
          <w:rFonts w:hint="eastAsia" w:ascii="仿宋" w:hAnsi="仿宋" w:eastAsia="仿宋" w:cs="仿宋"/>
          <w:sz w:val="24"/>
          <w:szCs w:val="24"/>
        </w:rPr>
        <w:t>。</w:t>
      </w:r>
    </w:p>
    <w:p w14:paraId="07BD81C1">
      <w:pPr>
        <w:pStyle w:val="4"/>
        <w:spacing w:line="240" w:lineRule="auto"/>
        <w:ind w:firstLine="137"/>
        <w:rPr>
          <w:rFonts w:hint="eastAsia" w:ascii="仿宋" w:hAnsi="仿宋" w:eastAsia="仿宋" w:cs="仿宋"/>
        </w:rPr>
      </w:pPr>
      <w:bookmarkStart w:id="164" w:name="_Toc501460670"/>
      <w:bookmarkStart w:id="165" w:name="_Toc196323400"/>
      <w:bookmarkStart w:id="166" w:name="_Toc21111"/>
      <w:r>
        <w:rPr>
          <w:rFonts w:hint="eastAsia" w:ascii="仿宋" w:hAnsi="仿宋" w:eastAsia="仿宋" w:cs="仿宋"/>
        </w:rPr>
        <w:t>3.3 响应文件有效期</w:t>
      </w:r>
      <w:bookmarkEnd w:id="164"/>
      <w:bookmarkEnd w:id="165"/>
      <w:bookmarkEnd w:id="166"/>
    </w:p>
    <w:p w14:paraId="4778C88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3.3.1 除</w:t>
      </w:r>
      <w:r>
        <w:rPr>
          <w:rFonts w:hint="eastAsia" w:ascii="仿宋" w:hAnsi="仿宋" w:eastAsia="仿宋" w:cs="仿宋"/>
          <w:iCs/>
          <w:sz w:val="24"/>
          <w:szCs w:val="24"/>
        </w:rPr>
        <w:t>供应商须知前附表</w:t>
      </w:r>
      <w:r>
        <w:rPr>
          <w:rFonts w:hint="eastAsia" w:ascii="仿宋" w:hAnsi="仿宋" w:eastAsia="仿宋" w:cs="仿宋"/>
          <w:sz w:val="24"/>
          <w:szCs w:val="24"/>
        </w:rPr>
        <w:t>另有规定外，响应文件有效期应为90日，从采购文件规定的递交响应文件的截止时间开始计算。</w:t>
      </w:r>
    </w:p>
    <w:p w14:paraId="3CAC0BE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3.3.2 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0D0F22BF">
      <w:pPr>
        <w:pStyle w:val="4"/>
        <w:spacing w:line="240" w:lineRule="auto"/>
        <w:ind w:firstLine="137"/>
        <w:rPr>
          <w:rFonts w:hint="eastAsia" w:ascii="仿宋" w:hAnsi="仿宋" w:eastAsia="仿宋" w:cs="仿宋"/>
        </w:rPr>
      </w:pPr>
      <w:bookmarkStart w:id="167" w:name="_Toc501460671"/>
      <w:bookmarkStart w:id="168" w:name="_Toc196323401"/>
      <w:bookmarkStart w:id="169" w:name="_Toc8165"/>
      <w:r>
        <w:rPr>
          <w:rFonts w:hint="eastAsia" w:ascii="仿宋" w:hAnsi="仿宋" w:eastAsia="仿宋" w:cs="仿宋"/>
        </w:rPr>
        <w:t xml:space="preserve">3.4 </w:t>
      </w:r>
      <w:bookmarkEnd w:id="167"/>
      <w:r>
        <w:rPr>
          <w:rFonts w:hint="eastAsia" w:ascii="仿宋" w:hAnsi="仿宋" w:eastAsia="仿宋" w:cs="仿宋"/>
        </w:rPr>
        <w:t>响应保证金</w:t>
      </w:r>
      <w:bookmarkEnd w:id="168"/>
      <w:bookmarkEnd w:id="169"/>
    </w:p>
    <w:p w14:paraId="276DAC7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3.4.1 </w:t>
      </w:r>
      <w:r>
        <w:rPr>
          <w:rFonts w:hint="eastAsia" w:ascii="仿宋" w:hAnsi="仿宋" w:eastAsia="仿宋" w:cs="仿宋"/>
          <w:iCs/>
          <w:sz w:val="24"/>
          <w:szCs w:val="24"/>
        </w:rPr>
        <w:t>供应商须知前附表</w:t>
      </w:r>
      <w:r>
        <w:rPr>
          <w:rFonts w:hint="eastAsia" w:ascii="仿宋" w:hAnsi="仿宋" w:eastAsia="仿宋" w:cs="仿宋"/>
          <w:sz w:val="24"/>
          <w:szCs w:val="24"/>
        </w:rPr>
        <w:t>规定要求递交响应保证金的，供应商在递交响应文件的同时，应按供应商须知前附表规定的金额</w:t>
      </w:r>
      <w:bookmarkStart w:id="170" w:name="_Toc152042321"/>
      <w:bookmarkStart w:id="171" w:name="_Toc4592"/>
      <w:bookmarkStart w:id="172" w:name="_Toc247513969"/>
      <w:bookmarkStart w:id="173" w:name="_Toc384308226"/>
      <w:bookmarkStart w:id="174" w:name="_Toc152045545"/>
      <w:bookmarkStart w:id="175" w:name="_Toc144974513"/>
      <w:bookmarkStart w:id="176" w:name="_Toc300834966"/>
      <w:bookmarkStart w:id="177" w:name="_Toc247527570"/>
      <w:bookmarkStart w:id="178" w:name="_Toc352691489"/>
      <w:bookmarkStart w:id="179" w:name="_Toc361508601"/>
      <w:bookmarkStart w:id="180" w:name="_Toc369531532"/>
      <w:r>
        <w:rPr>
          <w:rFonts w:hint="eastAsia" w:ascii="仿宋" w:hAnsi="仿宋" w:eastAsia="仿宋" w:cs="仿宋"/>
          <w:sz w:val="24"/>
          <w:szCs w:val="24"/>
        </w:rPr>
        <w:t>、形式和采购文件提供的格式（见第六章“响应文件格式”四、响应保证金</w:t>
      </w:r>
      <w:bookmarkEnd w:id="170"/>
      <w:bookmarkEnd w:id="171"/>
      <w:bookmarkEnd w:id="172"/>
      <w:bookmarkEnd w:id="173"/>
      <w:bookmarkEnd w:id="174"/>
      <w:bookmarkEnd w:id="175"/>
      <w:bookmarkEnd w:id="176"/>
      <w:bookmarkEnd w:id="177"/>
      <w:bookmarkEnd w:id="178"/>
      <w:bookmarkEnd w:id="179"/>
      <w:bookmarkEnd w:id="180"/>
      <w:r>
        <w:rPr>
          <w:rFonts w:hint="eastAsia" w:ascii="仿宋" w:hAnsi="仿宋" w:eastAsia="仿宋" w:cs="仿宋"/>
          <w:sz w:val="24"/>
          <w:szCs w:val="24"/>
        </w:rPr>
        <w:t>）递交响应保证金，并作为其响应文件的组成部分。供应商不按要求递交响应保证金的，其响应文件将被视为无效。</w:t>
      </w:r>
    </w:p>
    <w:p w14:paraId="454444C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3.4.2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300420F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3.4.3 有下列情形之一的，响应保证金将不予退还：</w:t>
      </w:r>
    </w:p>
    <w:p w14:paraId="0189E77A">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（1）供应商在响应文件有效期内撤销响应文件；</w:t>
      </w:r>
    </w:p>
    <w:p w14:paraId="3F1FBB7F">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（2）成交供应商在收到成交通知书后，无正当理由不与采购人订立合同，在签订合同时向采购人提出附加条件，或者不按照采购文件要求递交履约保证金；</w:t>
      </w:r>
    </w:p>
    <w:p w14:paraId="2951795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（3）发生</w:t>
      </w:r>
      <w:r>
        <w:rPr>
          <w:rFonts w:hint="eastAsia" w:ascii="仿宋" w:hAnsi="仿宋" w:eastAsia="仿宋" w:cs="仿宋"/>
          <w:iCs/>
          <w:sz w:val="24"/>
          <w:szCs w:val="24"/>
        </w:rPr>
        <w:t>供应商须知前附表</w:t>
      </w:r>
      <w:r>
        <w:rPr>
          <w:rFonts w:hint="eastAsia" w:ascii="仿宋" w:hAnsi="仿宋" w:eastAsia="仿宋" w:cs="仿宋"/>
          <w:sz w:val="24"/>
          <w:szCs w:val="24"/>
        </w:rPr>
        <w:t>规定的其他不予退还响应保证金的情形。</w:t>
      </w:r>
    </w:p>
    <w:p w14:paraId="7CA5EA3B">
      <w:pPr>
        <w:pStyle w:val="4"/>
        <w:spacing w:line="240" w:lineRule="auto"/>
        <w:ind w:firstLine="137"/>
        <w:rPr>
          <w:rFonts w:hint="eastAsia" w:ascii="仿宋" w:hAnsi="仿宋" w:eastAsia="仿宋" w:cs="仿宋"/>
        </w:rPr>
      </w:pPr>
      <w:bookmarkStart w:id="181" w:name="_Toc32541"/>
      <w:bookmarkStart w:id="182" w:name="_Toc196323402"/>
      <w:bookmarkStart w:id="183" w:name="_Toc501460673"/>
      <w:r>
        <w:rPr>
          <w:rFonts w:hint="eastAsia" w:ascii="仿宋" w:hAnsi="仿宋" w:eastAsia="仿宋" w:cs="仿宋"/>
        </w:rPr>
        <w:t>3.5 资格审查资料</w:t>
      </w:r>
      <w:bookmarkEnd w:id="181"/>
      <w:bookmarkEnd w:id="182"/>
      <w:bookmarkEnd w:id="183"/>
    </w:p>
    <w:p w14:paraId="5BDABEC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3.5.1 供应商应按照询比招标公告要求提供资格审查资料，内容及格式见第六章“响应文件格式”要求。</w:t>
      </w:r>
    </w:p>
    <w:p w14:paraId="2A37DC9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3.5.2 询比招标公告规定接受联合体响应的，资格审查资料应包括联合体各方相关情况。</w:t>
      </w:r>
    </w:p>
    <w:p w14:paraId="21B4AB98">
      <w:pPr>
        <w:pStyle w:val="4"/>
        <w:spacing w:line="240" w:lineRule="auto"/>
        <w:ind w:firstLine="118"/>
        <w:rPr>
          <w:rFonts w:hint="eastAsia" w:ascii="仿宋" w:hAnsi="仿宋" w:eastAsia="仿宋" w:cs="仿宋"/>
          <w:sz w:val="24"/>
          <w:szCs w:val="24"/>
        </w:rPr>
      </w:pPr>
      <w:bookmarkStart w:id="184" w:name="_Toc501460674"/>
      <w:bookmarkStart w:id="185" w:name="_Toc196323403"/>
      <w:bookmarkStart w:id="186" w:name="_Toc24225"/>
      <w:r>
        <w:rPr>
          <w:rFonts w:hint="eastAsia" w:ascii="仿宋" w:hAnsi="仿宋" w:eastAsia="仿宋" w:cs="仿宋"/>
          <w:sz w:val="24"/>
          <w:szCs w:val="24"/>
        </w:rPr>
        <w:t>3.</w:t>
      </w:r>
      <w:bookmarkEnd w:id="184"/>
      <w:r>
        <w:rPr>
          <w:rFonts w:hint="eastAsia" w:ascii="仿宋" w:hAnsi="仿宋" w:eastAsia="仿宋" w:cs="仿宋"/>
          <w:sz w:val="24"/>
          <w:szCs w:val="24"/>
        </w:rPr>
        <w:t xml:space="preserve">6 </w:t>
      </w:r>
      <w:bookmarkEnd w:id="185"/>
      <w:r>
        <w:rPr>
          <w:rFonts w:hint="eastAsia" w:ascii="仿宋" w:hAnsi="仿宋" w:eastAsia="仿宋" w:cs="仿宋"/>
          <w:sz w:val="24"/>
          <w:szCs w:val="24"/>
        </w:rPr>
        <w:t>响应方案</w:t>
      </w:r>
      <w:bookmarkEnd w:id="186"/>
    </w:p>
    <w:p w14:paraId="6E9DD30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3.6.1 响应文件应当对采购文件中的实质性内容作出响应。</w:t>
      </w:r>
    </w:p>
    <w:p w14:paraId="278288E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3.6.2供应商只能提出唯一的响应方案。供应商在响应文件中提出多个响应方案的，其响应文件将被视为无效。</w:t>
      </w:r>
    </w:p>
    <w:p w14:paraId="6993A15B">
      <w:pPr>
        <w:pStyle w:val="4"/>
        <w:spacing w:line="240" w:lineRule="auto"/>
        <w:ind w:firstLine="137"/>
        <w:rPr>
          <w:rFonts w:hint="eastAsia" w:ascii="仿宋" w:hAnsi="仿宋" w:eastAsia="仿宋" w:cs="仿宋"/>
        </w:rPr>
      </w:pPr>
      <w:bookmarkStart w:id="187" w:name="_Toc196323404"/>
      <w:bookmarkStart w:id="188" w:name="_Toc3454"/>
      <w:bookmarkStart w:id="189" w:name="_Toc501460675"/>
      <w:r>
        <w:rPr>
          <w:rFonts w:hint="eastAsia" w:ascii="仿宋" w:hAnsi="仿宋" w:eastAsia="仿宋" w:cs="仿宋"/>
        </w:rPr>
        <w:t>3.7 响应文件的编制</w:t>
      </w:r>
      <w:bookmarkEnd w:id="187"/>
      <w:bookmarkEnd w:id="188"/>
      <w:bookmarkEnd w:id="189"/>
    </w:p>
    <w:p w14:paraId="7F3F661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3.7.1 响应文件应按第六章“响应文件格式”进行编写，如有必要，可以增加附页，作为响应文件的组成部分。</w:t>
      </w:r>
    </w:p>
    <w:p w14:paraId="7AB3845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3.7.2 响应文件应当对询比文件有关服务期限、响应文件有效期、供货要求、采购范围等实质性内容作出响应。响应文件在满足采购文件实质性要求的基础上，可以提出比采购文件要求更有利于采购人的承诺。</w:t>
      </w:r>
    </w:p>
    <w:p w14:paraId="73A90ED9">
      <w:pPr>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3.7.3</w:t>
      </w:r>
      <w:r>
        <w:rPr>
          <w:rFonts w:hint="eastAsia" w:ascii="仿宋" w:hAnsi="仿宋" w:eastAsia="仿宋" w:cs="仿宋"/>
          <w:sz w:val="24"/>
          <w:szCs w:val="24"/>
        </w:rPr>
        <w:t>（</w:t>
      </w:r>
      <w:r>
        <w:rPr>
          <w:rFonts w:ascii="仿宋" w:hAnsi="仿宋" w:eastAsia="仿宋" w:cs="仿宋"/>
          <w:sz w:val="24"/>
          <w:szCs w:val="24"/>
        </w:rPr>
        <w:t>A</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）响应文件应用不褪色的材料书写或打印，响应函及对响应文件的澄清、说 明和补正应由供应商的法定代表人（单位负责人）或其授权的代理人签字或盖单位章。由供应商的法定代表人（单位负责人）签字的，应附法定代表人（单位负责人）身份证明，由代理人 签字的，应附授权委托书，身份证明或授权委托书应符合第六章</w:t>
      </w:r>
      <w:r>
        <w:rPr>
          <w:rFonts w:ascii="仿宋" w:hAnsi="仿宋" w:eastAsia="仿宋" w:cs="仿宋"/>
          <w:sz w:val="24"/>
          <w:szCs w:val="24"/>
        </w:rPr>
        <w:t>“</w:t>
      </w:r>
      <w:r>
        <w:rPr>
          <w:rFonts w:hint="eastAsia" w:ascii="仿宋" w:hAnsi="仿宋" w:eastAsia="仿宋" w:cs="仿宋"/>
          <w:sz w:val="24"/>
          <w:szCs w:val="24"/>
        </w:rPr>
        <w:t>响应文件格式</w:t>
      </w:r>
      <w:r>
        <w:rPr>
          <w:rFonts w:ascii="仿宋" w:hAnsi="仿宋" w:eastAsia="仿宋" w:cs="仿宋"/>
          <w:sz w:val="24"/>
          <w:szCs w:val="24"/>
        </w:rPr>
        <w:t>”</w:t>
      </w:r>
      <w:r>
        <w:rPr>
          <w:rFonts w:hint="eastAsia" w:ascii="仿宋" w:hAnsi="仿宋" w:eastAsia="仿宋" w:cs="仿宋"/>
          <w:sz w:val="24"/>
          <w:szCs w:val="24"/>
        </w:rPr>
        <w:t>的要求。响应文件应尽量避免涂改、行间插字或删除。如果出现上述情况，改动之处应由供应商的法定代表 人（单位负责人）或其授权的代理人签字或盖单位章。</w:t>
      </w:r>
    </w:p>
    <w:p w14:paraId="315138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）响应文件正本一份，副本份数见供应商须知前附表。正本和副本的封面右上角应清楚地标记</w:t>
      </w:r>
      <w:r>
        <w:rPr>
          <w:rFonts w:ascii="仿宋" w:hAnsi="仿宋" w:eastAsia="仿宋" w:cs="仿宋"/>
          <w:sz w:val="24"/>
          <w:szCs w:val="24"/>
        </w:rPr>
        <w:t>“</w:t>
      </w:r>
      <w:r>
        <w:rPr>
          <w:rFonts w:hint="eastAsia" w:ascii="仿宋" w:hAnsi="仿宋" w:eastAsia="仿宋" w:cs="仿宋"/>
          <w:sz w:val="24"/>
          <w:szCs w:val="24"/>
        </w:rPr>
        <w:t>正本</w:t>
      </w:r>
      <w:r>
        <w:rPr>
          <w:rFonts w:ascii="仿宋" w:hAnsi="仿宋" w:eastAsia="仿宋" w:cs="仿宋"/>
          <w:sz w:val="24"/>
          <w:szCs w:val="24"/>
        </w:rPr>
        <w:t>”</w:t>
      </w:r>
      <w:r>
        <w:rPr>
          <w:rFonts w:hint="eastAsia" w:ascii="仿宋" w:hAnsi="仿宋" w:eastAsia="仿宋" w:cs="仿宋"/>
          <w:sz w:val="24"/>
          <w:szCs w:val="24"/>
        </w:rPr>
        <w:t>或</w:t>
      </w:r>
      <w:r>
        <w:rPr>
          <w:rFonts w:ascii="仿宋" w:hAnsi="仿宋" w:eastAsia="仿宋" w:cs="仿宋"/>
          <w:sz w:val="24"/>
          <w:szCs w:val="24"/>
        </w:rPr>
        <w:t>“</w:t>
      </w:r>
      <w:r>
        <w:rPr>
          <w:rFonts w:hint="eastAsia" w:ascii="仿宋" w:hAnsi="仿宋" w:eastAsia="仿宋" w:cs="仿宋"/>
          <w:sz w:val="24"/>
          <w:szCs w:val="24"/>
        </w:rPr>
        <w:t>副本</w:t>
      </w:r>
      <w:r>
        <w:rPr>
          <w:rFonts w:ascii="仿宋" w:hAnsi="仿宋" w:eastAsia="仿宋" w:cs="仿宋"/>
          <w:sz w:val="24"/>
          <w:szCs w:val="24"/>
        </w:rPr>
        <w:t>”</w:t>
      </w:r>
      <w:r>
        <w:rPr>
          <w:rFonts w:hint="eastAsia" w:ascii="仿宋" w:hAnsi="仿宋" w:eastAsia="仿宋" w:cs="仿宋"/>
          <w:sz w:val="24"/>
          <w:szCs w:val="24"/>
        </w:rPr>
        <w:t>的字样。供应商应根据供应商须知前附表要求提供电子版文件。当副本和正本不一致或电子版文件和纸质正本文件不一致时，以纸质正本文件为准。</w:t>
      </w:r>
    </w:p>
    <w:p w14:paraId="4C7145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）响应文件的正本与副本应分别装订，并编制目录，响应文件需分册装订的，具体分册装订要求见供应商须知前附表规定。</w:t>
      </w:r>
    </w:p>
    <w:p w14:paraId="6A5AC67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3.7.3 （B）响应文件的制作应满足以下规定：</w:t>
      </w:r>
    </w:p>
    <w:p w14:paraId="0D1660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（1）本项目采用全流程电子化采购方式，电子响应文件的制作、签章、加密、上传见本章附件一“全流程电子询比采购具体要求”。</w:t>
      </w:r>
    </w:p>
    <w:p w14:paraId="4FF0316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第六章“响应文件格式”中要求盖单位章和（或）签字处，供应商应加盖供应商单位电子印章和（或）法定代表人的个人电子印章/电子签名章。联合体参加询比的，除联合体协议书外，响应文件由联合体牵头人按照上述规定加盖联合体牵头人单位电子印章和（或）法定代表人的个人电子印章/电子签名章。</w:t>
      </w:r>
    </w:p>
    <w:p w14:paraId="58D492C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14:paraId="3BED07C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（4）响应文件中的证明材料接受扫描件（包括电子证照等电子件）形式。</w:t>
      </w:r>
    </w:p>
    <w:p w14:paraId="75287D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3.7.4 （B</w:t>
      </w:r>
      <w:r>
        <w:rPr>
          <w:rFonts w:ascii="仿宋" w:hAnsi="仿宋" w:eastAsia="仿宋" w:cs="仿宋"/>
          <w:sz w:val="24"/>
          <w:szCs w:val="24"/>
        </w:rPr>
        <w:t>）</w:t>
      </w:r>
      <w:r>
        <w:rPr>
          <w:rFonts w:hint="eastAsia" w:ascii="仿宋" w:hAnsi="仿宋" w:eastAsia="仿宋" w:cs="仿宋"/>
          <w:sz w:val="24"/>
          <w:szCs w:val="24"/>
        </w:rPr>
        <w:t>“优质采投标工具客户端”生成加密响应文件时，同时生成非加密响应文件，作为加密响应文件无法解密、导入时的补救措施。非加密响应文件递交要求见供应商须知前附表。</w:t>
      </w:r>
    </w:p>
    <w:p w14:paraId="671D77F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3.7.5 （B</w:t>
      </w:r>
      <w:r>
        <w:rPr>
          <w:rFonts w:ascii="仿宋" w:hAnsi="仿宋" w:eastAsia="仿宋" w:cs="仿宋"/>
          <w:sz w:val="24"/>
          <w:szCs w:val="24"/>
        </w:rPr>
        <w:t>）</w:t>
      </w:r>
      <w:r>
        <w:rPr>
          <w:rFonts w:hint="eastAsia" w:ascii="仿宋" w:hAnsi="仿宋" w:eastAsia="仿宋" w:cs="仿宋"/>
          <w:sz w:val="24"/>
          <w:szCs w:val="24"/>
        </w:rPr>
        <w:t xml:space="preserve"> 因供应商自身原因而导致响应文件（指解密后的响应文件）无法导入电子交易系统电子开标、评标系统，该响应文件视为无效，供应商自行承担由此导致的全部责任。</w:t>
      </w:r>
    </w:p>
    <w:p w14:paraId="7D679EE8">
      <w:pPr>
        <w:spacing w:line="400" w:lineRule="exact"/>
        <w:ind w:firstLine="480" w:firstLineChars="200"/>
        <w:rPr>
          <w:rFonts w:hint="eastAsia" w:ascii="仿宋" w:hAnsi="仿宋" w:eastAsia="仿宋" w:cs="仿宋"/>
          <w:sz w:val="24"/>
          <w:szCs w:val="24"/>
        </w:rPr>
      </w:pPr>
    </w:p>
    <w:p w14:paraId="4D8F44F9">
      <w:pPr>
        <w:pStyle w:val="3"/>
        <w:rPr>
          <w:rFonts w:hint="eastAsia" w:ascii="仿宋" w:hAnsi="仿宋" w:eastAsia="仿宋" w:cs="仿宋"/>
        </w:rPr>
      </w:pPr>
      <w:bookmarkStart w:id="190" w:name="_Toc501460676"/>
      <w:bookmarkStart w:id="191" w:name="_Toc196323405"/>
      <w:bookmarkStart w:id="192" w:name="_Toc2519"/>
      <w:r>
        <w:rPr>
          <w:rFonts w:hint="eastAsia" w:ascii="仿宋" w:hAnsi="仿宋" w:eastAsia="仿宋" w:cs="仿宋"/>
        </w:rPr>
        <w:t xml:space="preserve">4. </w:t>
      </w:r>
      <w:bookmarkEnd w:id="190"/>
      <w:r>
        <w:rPr>
          <w:rFonts w:hint="eastAsia" w:ascii="仿宋" w:hAnsi="仿宋" w:eastAsia="仿宋" w:cs="仿宋"/>
        </w:rPr>
        <w:t>响应文件的递交</w:t>
      </w:r>
      <w:bookmarkEnd w:id="191"/>
      <w:bookmarkEnd w:id="192"/>
    </w:p>
    <w:p w14:paraId="02E42525">
      <w:pPr>
        <w:pStyle w:val="4"/>
        <w:spacing w:line="240" w:lineRule="auto"/>
        <w:ind w:firstLine="137"/>
        <w:rPr>
          <w:rFonts w:hint="eastAsia" w:ascii="仿宋" w:hAnsi="仿宋" w:eastAsia="仿宋" w:cs="仿宋"/>
        </w:rPr>
      </w:pPr>
      <w:bookmarkStart w:id="193" w:name="_Toc26221"/>
      <w:bookmarkStart w:id="194" w:name="_Toc501460677"/>
      <w:bookmarkStart w:id="195" w:name="_Toc196323406"/>
      <w:bookmarkStart w:id="196" w:name="_Toc28968"/>
      <w:r>
        <w:rPr>
          <w:rFonts w:hint="eastAsia" w:ascii="仿宋" w:hAnsi="仿宋" w:eastAsia="仿宋" w:cs="仿宋"/>
        </w:rPr>
        <w:t>4.1 响应文件的包装和标记</w:t>
      </w:r>
      <w:bookmarkEnd w:id="193"/>
      <w:bookmarkEnd w:id="194"/>
      <w:bookmarkEnd w:id="195"/>
      <w:bookmarkEnd w:id="196"/>
    </w:p>
    <w:p w14:paraId="6B015EE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4.1.1 （A）响应文件应密封包装，并在封套上加盖供应商单位章或由供应商的法定代表人（单位负责人）或其授权的代理人签字。响应文件封套上应载明的内容见供应商须知前附表。</w:t>
      </w:r>
    </w:p>
    <w:p w14:paraId="6E33872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4.1.1（B</w:t>
      </w:r>
      <w:r>
        <w:rPr>
          <w:rFonts w:ascii="仿宋" w:hAnsi="仿宋" w:eastAsia="仿宋" w:cs="仿宋"/>
          <w:sz w:val="24"/>
          <w:szCs w:val="24"/>
        </w:rPr>
        <w:t>）</w:t>
      </w:r>
      <w:r>
        <w:rPr>
          <w:rFonts w:hint="eastAsia" w:ascii="仿宋" w:hAnsi="仿宋" w:eastAsia="仿宋" w:cs="仿宋"/>
          <w:sz w:val="24"/>
          <w:szCs w:val="24"/>
        </w:rPr>
        <w:t xml:space="preserve"> 响应文件应当按照采购文件和“优质采云采购平台”</w:t>
      </w:r>
      <w:r>
        <w:fldChar w:fldCharType="begin"/>
      </w:r>
      <w:r>
        <w:instrText xml:space="preserve"> HYPERLINK "http://www.youzhicai.com）购买并下载招标文件。" </w:instrText>
      </w:r>
      <w:r>
        <w:fldChar w:fldCharType="separate"/>
      </w:r>
      <w:r>
        <w:rPr>
          <w:rFonts w:hint="eastAsia" w:ascii="仿宋" w:hAnsi="仿宋" w:eastAsia="仿宋" w:cs="仿宋"/>
          <w:sz w:val="24"/>
          <w:szCs w:val="24"/>
        </w:rPr>
        <w:t>（http://www.youzhicai.com/）</w:t>
      </w:r>
      <w:r>
        <w:rPr>
          <w:rFonts w:hint="eastAsia" w:ascii="仿宋" w:hAnsi="仿宋" w:eastAsia="仿宋" w:cs="仿宋"/>
          <w:sz w:val="24"/>
          <w:szCs w:val="24"/>
        </w:rPr>
        <w:fldChar w:fldCharType="end"/>
      </w:r>
      <w:r>
        <w:rPr>
          <w:rFonts w:hint="eastAsia" w:ascii="仿宋" w:hAnsi="仿宋" w:eastAsia="仿宋" w:cs="仿宋"/>
          <w:sz w:val="24"/>
          <w:szCs w:val="24"/>
        </w:rPr>
        <w:t>的要求加密响应文件，具体要求见3.7.3（B）项。</w:t>
      </w:r>
    </w:p>
    <w:p w14:paraId="2E9A750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4.1.2（B</w:t>
      </w:r>
      <w:r>
        <w:rPr>
          <w:rFonts w:ascii="仿宋" w:hAnsi="仿宋" w:eastAsia="仿宋" w:cs="仿宋"/>
          <w:sz w:val="24"/>
          <w:szCs w:val="24"/>
        </w:rPr>
        <w:t>）</w:t>
      </w:r>
      <w:r>
        <w:rPr>
          <w:rFonts w:hint="eastAsia" w:ascii="Times New Roman" w:hAnsi="Times New Roman" w:eastAsia="仿宋"/>
          <w:sz w:val="24"/>
          <w:szCs w:val="24"/>
        </w:rPr>
        <w:t>允许递交非加密响应文件的，</w:t>
      </w:r>
      <w:r>
        <w:rPr>
          <w:rFonts w:hint="eastAsia" w:ascii="仿宋" w:hAnsi="仿宋" w:eastAsia="仿宋" w:cs="仿宋"/>
          <w:sz w:val="24"/>
          <w:szCs w:val="24"/>
        </w:rPr>
        <w:t>非加密响应文件封套上应载明的内容见供应商须知前附表，响应文件应密封包装。</w:t>
      </w:r>
    </w:p>
    <w:p w14:paraId="5969882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4.1.3未按本章第4.1.2项要求密封的响应文件，采购人将予以拒收。</w:t>
      </w:r>
    </w:p>
    <w:p w14:paraId="1761B21F">
      <w:pPr>
        <w:pStyle w:val="4"/>
        <w:spacing w:line="240" w:lineRule="auto"/>
        <w:ind w:firstLine="137"/>
        <w:rPr>
          <w:rFonts w:hint="eastAsia" w:ascii="仿宋" w:hAnsi="仿宋" w:eastAsia="仿宋" w:cs="仿宋"/>
        </w:rPr>
      </w:pPr>
      <w:bookmarkStart w:id="197" w:name="_Toc501460678"/>
      <w:bookmarkStart w:id="198" w:name="_Toc22141"/>
      <w:bookmarkStart w:id="199" w:name="_Toc196323407"/>
      <w:bookmarkStart w:id="200" w:name="_Toc703"/>
      <w:r>
        <w:rPr>
          <w:rFonts w:hint="eastAsia" w:ascii="仿宋" w:hAnsi="仿宋" w:eastAsia="仿宋" w:cs="仿宋"/>
        </w:rPr>
        <w:t>4.2 响应文件的递交</w:t>
      </w:r>
      <w:bookmarkEnd w:id="197"/>
      <w:bookmarkEnd w:id="198"/>
      <w:bookmarkEnd w:id="199"/>
      <w:bookmarkEnd w:id="200"/>
    </w:p>
    <w:p w14:paraId="0ACFA3D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4.2.1供应商应在</w:t>
      </w:r>
      <w:r>
        <w:rPr>
          <w:rFonts w:hint="eastAsia" w:ascii="仿宋" w:hAnsi="仿宋" w:eastAsia="仿宋" w:cs="仿宋"/>
          <w:iCs/>
          <w:sz w:val="24"/>
          <w:szCs w:val="24"/>
        </w:rPr>
        <w:t>供应商须知前附表</w:t>
      </w:r>
      <w:r>
        <w:rPr>
          <w:rFonts w:hint="eastAsia" w:ascii="仿宋" w:hAnsi="仿宋" w:eastAsia="仿宋" w:cs="仿宋"/>
          <w:sz w:val="24"/>
          <w:szCs w:val="24"/>
        </w:rPr>
        <w:t>规定的响应文件递交的截止时间前在响应文件递交地点递交响应文件。</w:t>
      </w:r>
    </w:p>
    <w:p w14:paraId="2EAD643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4.2.2除供应商须知前附表另有规定外，供应商所递交的响应文件不予退还。</w:t>
      </w:r>
    </w:p>
    <w:p w14:paraId="4A4BD6C0">
      <w:pPr>
        <w:autoSpaceDE w:val="0"/>
        <w:autoSpaceDN w:val="0"/>
        <w:adjustRightInd w:val="0"/>
        <w:spacing w:line="400" w:lineRule="exact"/>
        <w:ind w:firstLine="480" w:firstLineChars="200"/>
        <w:jc w:val="left"/>
        <w:rPr>
          <w:rFonts w:hint="eastAsia" w:ascii="仿宋" w:hAnsi="仿宋" w:eastAsia="仿宋" w:cs="仿宋"/>
          <w:sz w:val="24"/>
          <w:szCs w:val="24"/>
        </w:rPr>
      </w:pPr>
      <w:r>
        <w:rPr>
          <w:rFonts w:ascii="仿宋" w:hAnsi="仿宋" w:eastAsia="仿宋" w:cs="仿宋"/>
          <w:sz w:val="24"/>
          <w:szCs w:val="24"/>
        </w:rPr>
        <w:t>4.2.</w:t>
      </w:r>
      <w:r>
        <w:rPr>
          <w:rFonts w:hint="eastAsia" w:ascii="仿宋" w:hAnsi="仿宋" w:eastAsia="仿宋" w:cs="仿宋"/>
          <w:sz w:val="24"/>
          <w:szCs w:val="24"/>
        </w:rPr>
        <w:t>3</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A</w:t>
      </w:r>
      <w:r>
        <w:rPr>
          <w:rFonts w:hint="eastAsia" w:ascii="仿宋" w:hAnsi="仿宋" w:eastAsia="仿宋" w:cs="仿宋"/>
          <w:sz w:val="24"/>
          <w:szCs w:val="24"/>
        </w:rPr>
        <w:t>）采购人收到响应文件后，向供应商出具签收凭证。</w:t>
      </w:r>
    </w:p>
    <w:p w14:paraId="2AE91D1E">
      <w:pPr>
        <w:autoSpaceDE w:val="0"/>
        <w:autoSpaceDN w:val="0"/>
        <w:adjustRightIn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4.2.3（B</w:t>
      </w:r>
      <w:r>
        <w:rPr>
          <w:rFonts w:ascii="仿宋" w:hAnsi="仿宋" w:eastAsia="仿宋" w:cs="仿宋"/>
          <w:sz w:val="24"/>
          <w:szCs w:val="24"/>
        </w:rPr>
        <w:t>）</w:t>
      </w:r>
      <w:r>
        <w:rPr>
          <w:rFonts w:hint="eastAsia" w:ascii="仿宋" w:hAnsi="仿宋" w:eastAsia="仿宋" w:cs="仿宋"/>
          <w:sz w:val="24"/>
          <w:szCs w:val="24"/>
        </w:rPr>
        <w:t>供应商完成电子响应文件上传后，“优质采云采购平台”</w:t>
      </w:r>
      <w:r>
        <w:fldChar w:fldCharType="begin"/>
      </w:r>
      <w:r>
        <w:instrText xml:space="preserve"> HYPERLINK "http://www.youzhicai.com）购买并下载招标文件。" </w:instrText>
      </w:r>
      <w:r>
        <w:fldChar w:fldCharType="separate"/>
      </w:r>
      <w:r>
        <w:rPr>
          <w:rFonts w:hint="eastAsia" w:ascii="仿宋" w:hAnsi="仿宋" w:eastAsia="仿宋" w:cs="仿宋"/>
          <w:sz w:val="24"/>
          <w:szCs w:val="24"/>
        </w:rPr>
        <w:t>（http://www.youzhicai.com/）</w:t>
      </w:r>
      <w:r>
        <w:rPr>
          <w:rFonts w:hint="eastAsia" w:ascii="仿宋" w:hAnsi="仿宋" w:eastAsia="仿宋" w:cs="仿宋"/>
          <w:sz w:val="24"/>
          <w:szCs w:val="24"/>
        </w:rPr>
        <w:fldChar w:fldCharType="end"/>
      </w:r>
      <w:r>
        <w:rPr>
          <w:rFonts w:hint="eastAsia" w:ascii="仿宋" w:hAnsi="仿宋" w:eastAsia="仿宋" w:cs="仿宋"/>
          <w:sz w:val="24"/>
          <w:szCs w:val="24"/>
        </w:rPr>
        <w:t>即时向供应商发出递交回执通知。递交时间以递交回执通知载明的传输完成时间为准。</w:t>
      </w:r>
    </w:p>
    <w:p w14:paraId="5B0982F3">
      <w:pPr>
        <w:spacing w:line="400" w:lineRule="exact"/>
        <w:ind w:firstLine="480" w:firstLineChars="200"/>
        <w:rPr>
          <w:rFonts w:hint="eastAsia" w:ascii="仿宋" w:hAnsi="仿宋" w:eastAsia="仿宋" w:cs="仿宋"/>
          <w:sz w:val="24"/>
          <w:szCs w:val="24"/>
        </w:rPr>
      </w:pPr>
      <w:r>
        <w:rPr>
          <w:rFonts w:ascii="仿宋" w:hAnsi="仿宋" w:eastAsia="仿宋" w:cs="仿宋"/>
          <w:sz w:val="24"/>
          <w:szCs w:val="24"/>
        </w:rPr>
        <w:t>4.2.</w:t>
      </w:r>
      <w:r>
        <w:rPr>
          <w:rFonts w:hint="eastAsia" w:ascii="仿宋" w:hAnsi="仿宋" w:eastAsia="仿宋" w:cs="仿宋"/>
          <w:sz w:val="24"/>
          <w:szCs w:val="24"/>
        </w:rPr>
        <w:t>4</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A</w:t>
      </w:r>
      <w:r>
        <w:rPr>
          <w:rFonts w:hint="eastAsia" w:ascii="仿宋" w:hAnsi="仿宋" w:eastAsia="仿宋" w:cs="仿宋"/>
          <w:sz w:val="24"/>
          <w:szCs w:val="24"/>
        </w:rPr>
        <w:t>）逾期送达的响应文件，采购人将予以拒收。</w:t>
      </w:r>
    </w:p>
    <w:p w14:paraId="6846ABD0">
      <w:pPr>
        <w:spacing w:line="400" w:lineRule="exact"/>
        <w:ind w:firstLine="480" w:firstLineChars="200"/>
        <w:rPr>
          <w:rFonts w:hint="eastAsia" w:ascii="仿宋" w:hAnsi="仿宋" w:eastAsia="仿宋" w:cs="仿宋"/>
        </w:rPr>
      </w:pPr>
      <w:r>
        <w:rPr>
          <w:rFonts w:hint="eastAsia" w:ascii="仿宋" w:hAnsi="仿宋" w:eastAsia="仿宋" w:cs="仿宋"/>
          <w:sz w:val="24"/>
          <w:szCs w:val="24"/>
        </w:rPr>
        <w:t>4.2.4（B</w:t>
      </w:r>
      <w:r>
        <w:rPr>
          <w:rFonts w:ascii="仿宋" w:hAnsi="仿宋" w:eastAsia="仿宋" w:cs="仿宋"/>
          <w:sz w:val="24"/>
          <w:szCs w:val="24"/>
        </w:rPr>
        <w:t>）</w:t>
      </w:r>
      <w:r>
        <w:rPr>
          <w:rFonts w:hint="eastAsia" w:ascii="仿宋" w:hAnsi="仿宋" w:eastAsia="仿宋" w:cs="仿宋"/>
          <w:sz w:val="24"/>
          <w:szCs w:val="24"/>
        </w:rPr>
        <w:t>逾期送达的响应文件“优质采云采购平台”</w:t>
      </w:r>
      <w:r>
        <w:fldChar w:fldCharType="begin"/>
      </w:r>
      <w:r>
        <w:instrText xml:space="preserve"> HYPERLINK "http://www.youzhicai.com）购买并下载招标文件。" </w:instrText>
      </w:r>
      <w:r>
        <w:fldChar w:fldCharType="separate"/>
      </w:r>
      <w:r>
        <w:rPr>
          <w:rFonts w:hint="eastAsia" w:ascii="仿宋" w:hAnsi="仿宋" w:eastAsia="仿宋" w:cs="仿宋"/>
          <w:sz w:val="24"/>
          <w:szCs w:val="24"/>
        </w:rPr>
        <w:t>（http://www.youzhicai.com/）</w:t>
      </w:r>
      <w:r>
        <w:rPr>
          <w:rFonts w:hint="eastAsia" w:ascii="仿宋" w:hAnsi="仿宋" w:eastAsia="仿宋" w:cs="仿宋"/>
          <w:sz w:val="24"/>
          <w:szCs w:val="24"/>
        </w:rPr>
        <w:fldChar w:fldCharType="end"/>
      </w:r>
      <w:r>
        <w:rPr>
          <w:rFonts w:hint="eastAsia" w:ascii="仿宋" w:hAnsi="仿宋" w:eastAsia="仿宋" w:cs="仿宋"/>
          <w:sz w:val="24"/>
          <w:szCs w:val="24"/>
        </w:rPr>
        <w:t>将予以拒收。</w:t>
      </w:r>
    </w:p>
    <w:p w14:paraId="3F9692CB">
      <w:pPr>
        <w:pStyle w:val="4"/>
        <w:spacing w:line="240" w:lineRule="auto"/>
        <w:ind w:firstLine="137"/>
        <w:rPr>
          <w:rFonts w:hint="eastAsia" w:ascii="仿宋" w:hAnsi="仿宋" w:eastAsia="仿宋" w:cs="仿宋"/>
        </w:rPr>
      </w:pPr>
      <w:bookmarkStart w:id="201" w:name="_Toc196323408"/>
      <w:bookmarkStart w:id="202" w:name="_Toc17604"/>
      <w:bookmarkStart w:id="203" w:name="_Toc501460679"/>
      <w:r>
        <w:rPr>
          <w:rFonts w:hint="eastAsia" w:ascii="仿宋" w:hAnsi="仿宋" w:eastAsia="仿宋" w:cs="仿宋"/>
        </w:rPr>
        <w:t>4.3 响应文件的修改与撤回</w:t>
      </w:r>
      <w:bookmarkEnd w:id="201"/>
      <w:bookmarkEnd w:id="202"/>
      <w:bookmarkEnd w:id="203"/>
    </w:p>
    <w:p w14:paraId="35615AD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4.3.1 在本章第4.2.1项规定的递交响应文件的截止时间前，供应商可以修改或撤回已递交的响应文件，但应以书面形式通知采购人。</w:t>
      </w:r>
    </w:p>
    <w:p w14:paraId="2C4E39C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4.3.2 （A）供应商修改或撤回已递交响应文件的书面通知应按照本章第 3.7.3（A）项的要求签字或盖章。招标人收到书面通知后，向供应商出具签收凭证。</w:t>
      </w:r>
    </w:p>
    <w:p w14:paraId="129C417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4.3.2 （B</w:t>
      </w:r>
      <w:r>
        <w:rPr>
          <w:rFonts w:ascii="仿宋" w:hAnsi="仿宋" w:eastAsia="仿宋" w:cs="仿宋"/>
          <w:sz w:val="24"/>
          <w:szCs w:val="24"/>
        </w:rPr>
        <w:t>）</w:t>
      </w:r>
      <w:r>
        <w:rPr>
          <w:rFonts w:hint="eastAsia" w:ascii="仿宋" w:hAnsi="仿宋" w:eastAsia="仿宋" w:cs="仿宋"/>
          <w:sz w:val="24"/>
          <w:szCs w:val="24"/>
        </w:rPr>
        <w:t>供应商修改或撤回已递交响应文件文件的通知，应按照本章第3.7.3项的要求加盖电子印章。“优质采云采购平台”</w:t>
      </w:r>
      <w:r>
        <w:fldChar w:fldCharType="begin"/>
      </w:r>
      <w:r>
        <w:instrText xml:space="preserve"> HYPERLINK "http://www.youzhicai.com）购买并下载招标文件。" </w:instrText>
      </w:r>
      <w:r>
        <w:fldChar w:fldCharType="separate"/>
      </w:r>
      <w:r>
        <w:rPr>
          <w:rFonts w:hint="eastAsia" w:ascii="仿宋" w:hAnsi="仿宋" w:eastAsia="仿宋" w:cs="仿宋"/>
          <w:sz w:val="24"/>
          <w:szCs w:val="24"/>
        </w:rPr>
        <w:t>（http://www.youzhicai.com/）</w:t>
      </w:r>
      <w:r>
        <w:rPr>
          <w:rFonts w:hint="eastAsia" w:ascii="仿宋" w:hAnsi="仿宋" w:eastAsia="仿宋" w:cs="仿宋"/>
          <w:sz w:val="24"/>
          <w:szCs w:val="24"/>
        </w:rPr>
        <w:fldChar w:fldCharType="end"/>
      </w:r>
      <w:r>
        <w:rPr>
          <w:rFonts w:hint="eastAsia" w:ascii="仿宋" w:hAnsi="仿宋" w:eastAsia="仿宋" w:cs="仿宋"/>
          <w:sz w:val="24"/>
          <w:szCs w:val="24"/>
        </w:rPr>
        <w:t>收到通知后，即时向供应商发出确认回执通知。</w:t>
      </w:r>
    </w:p>
    <w:p w14:paraId="1E795C6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4.3.3 供应商撤回响应文件的，采购人应在5日内退还已收取的响应保证金。</w:t>
      </w:r>
    </w:p>
    <w:p w14:paraId="4FE1E0D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4.3.</w:t>
      </w:r>
      <w:bookmarkStart w:id="204" w:name="_Toc361508610"/>
      <w:bookmarkStart w:id="205" w:name="_Toc152045553"/>
      <w:bookmarkStart w:id="206" w:name="_Toc384308235"/>
      <w:bookmarkStart w:id="207" w:name="_Toc369531541"/>
      <w:bookmarkStart w:id="208" w:name="_Toc300834974"/>
      <w:bookmarkStart w:id="209" w:name="_Toc247527578"/>
      <w:bookmarkStart w:id="210" w:name="_Toc152042329"/>
      <w:bookmarkStart w:id="211" w:name="_Toc247513977"/>
      <w:bookmarkStart w:id="212" w:name="_Toc352691497"/>
      <w:bookmarkStart w:id="213" w:name="_Toc144974521"/>
      <w:bookmarkStart w:id="214" w:name="_Toc19203"/>
      <w:r>
        <w:rPr>
          <w:rFonts w:hint="eastAsia" w:ascii="仿宋" w:hAnsi="仿宋" w:eastAsia="仿宋" w:cs="仿宋"/>
          <w:sz w:val="24"/>
          <w:szCs w:val="24"/>
        </w:rPr>
        <w:t>4 修改的内容为</w:t>
      </w:r>
      <w:bookmarkEnd w:id="204"/>
      <w:bookmarkEnd w:id="205"/>
      <w:bookmarkEnd w:id="206"/>
      <w:bookmarkEnd w:id="207"/>
      <w:bookmarkEnd w:id="208"/>
      <w:bookmarkEnd w:id="209"/>
      <w:bookmarkEnd w:id="210"/>
      <w:bookmarkEnd w:id="211"/>
      <w:bookmarkEnd w:id="212"/>
      <w:bookmarkEnd w:id="213"/>
      <w:bookmarkEnd w:id="214"/>
      <w:r>
        <w:rPr>
          <w:rFonts w:hint="eastAsia" w:ascii="仿宋" w:hAnsi="仿宋" w:eastAsia="仿宋" w:cs="仿宋"/>
          <w:sz w:val="24"/>
          <w:szCs w:val="24"/>
        </w:rPr>
        <w:t>响应文件的组成部分。响应文件的修改文件应按照本章第3条、第4条的规定进行编制、密封、标记和递交。</w:t>
      </w:r>
    </w:p>
    <w:p w14:paraId="3E0D8267">
      <w:pPr>
        <w:pStyle w:val="3"/>
        <w:rPr>
          <w:rFonts w:hint="eastAsia" w:ascii="仿宋" w:hAnsi="仿宋" w:eastAsia="仿宋" w:cs="仿宋"/>
        </w:rPr>
      </w:pPr>
      <w:bookmarkStart w:id="215" w:name="_Toc196323409"/>
      <w:bookmarkStart w:id="216" w:name="_Toc3771"/>
      <w:bookmarkStart w:id="217" w:name="_Toc501460680"/>
      <w:r>
        <w:rPr>
          <w:rFonts w:hint="eastAsia" w:ascii="仿宋" w:hAnsi="仿宋" w:eastAsia="仿宋" w:cs="仿宋"/>
        </w:rPr>
        <w:t>5. 开启响应文件</w:t>
      </w:r>
      <w:bookmarkEnd w:id="215"/>
      <w:bookmarkEnd w:id="216"/>
      <w:bookmarkEnd w:id="217"/>
    </w:p>
    <w:p w14:paraId="497ECCA9">
      <w:pPr>
        <w:pStyle w:val="4"/>
        <w:spacing w:line="240" w:lineRule="auto"/>
        <w:ind w:firstLine="137"/>
        <w:rPr>
          <w:rFonts w:hint="eastAsia" w:ascii="仿宋" w:hAnsi="仿宋" w:eastAsia="仿宋" w:cs="仿宋"/>
        </w:rPr>
      </w:pPr>
      <w:bookmarkStart w:id="218" w:name="_Toc196323410"/>
      <w:bookmarkStart w:id="219" w:name="_Toc16862"/>
      <w:bookmarkStart w:id="220" w:name="_Toc501460683"/>
      <w:r>
        <w:rPr>
          <w:rFonts w:hint="eastAsia" w:ascii="仿宋" w:hAnsi="仿宋" w:eastAsia="仿宋" w:cs="仿宋"/>
        </w:rPr>
        <w:t>5.1 开启响应文件的时间和地点</w:t>
      </w:r>
      <w:bookmarkEnd w:id="218"/>
      <w:bookmarkEnd w:id="219"/>
    </w:p>
    <w:p w14:paraId="2AE220E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在本章第4.2.1项及4.2.2项规定的递交响应文件的截止时间和地点公开开启响应文件，并邀请所有供应商的法定代表人（单位负责人）或其授权的代理人参加开启会议，供应商未派代表参加的，视为默认开启结果。</w:t>
      </w:r>
    </w:p>
    <w:p w14:paraId="69FA4043">
      <w:pPr>
        <w:pStyle w:val="4"/>
        <w:spacing w:line="240" w:lineRule="auto"/>
        <w:ind w:firstLine="137"/>
        <w:rPr>
          <w:rFonts w:hint="eastAsia" w:ascii="仿宋" w:hAnsi="仿宋" w:eastAsia="仿宋" w:cs="仿宋"/>
        </w:rPr>
      </w:pPr>
      <w:bookmarkStart w:id="221" w:name="_Toc196323411"/>
      <w:bookmarkStart w:id="222" w:name="_Toc18189"/>
      <w:r>
        <w:rPr>
          <w:rFonts w:hint="eastAsia" w:ascii="仿宋" w:hAnsi="仿宋" w:eastAsia="仿宋" w:cs="仿宋"/>
        </w:rPr>
        <w:t>5.2 开启程序</w:t>
      </w:r>
      <w:bookmarkEnd w:id="220"/>
      <w:bookmarkEnd w:id="221"/>
      <w:bookmarkEnd w:id="222"/>
    </w:p>
    <w:p w14:paraId="5D56EC7C">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主持人按照下列程序进行开启：</w:t>
      </w:r>
    </w:p>
    <w:p w14:paraId="5359059C">
      <w:pPr>
        <w:widowControl/>
        <w:adjustRightInd w:val="0"/>
        <w:snapToGrid w:val="0"/>
        <w:spacing w:line="400" w:lineRule="exact"/>
        <w:ind w:firstLine="480" w:firstLineChars="200"/>
        <w:rPr>
          <w:rFonts w:eastAsia="仿宋"/>
          <w:sz w:val="24"/>
        </w:rPr>
      </w:pPr>
      <w:r>
        <w:rPr>
          <w:rFonts w:hint="eastAsia" w:eastAsia="仿宋"/>
          <w:sz w:val="24"/>
        </w:rPr>
        <w:t>（</w:t>
      </w:r>
      <w:r>
        <w:rPr>
          <w:rFonts w:eastAsia="仿宋"/>
          <w:sz w:val="24"/>
        </w:rPr>
        <w:t>1</w:t>
      </w:r>
      <w:r>
        <w:rPr>
          <w:rFonts w:hint="eastAsia" w:eastAsia="仿宋"/>
          <w:sz w:val="24"/>
        </w:rPr>
        <w:t>）宣布工作纪律；</w:t>
      </w:r>
    </w:p>
    <w:p w14:paraId="777F388A">
      <w:pPr>
        <w:widowControl/>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（2）（A）检查响应文件的密封情况，按照供应商须知前附表规定的开启顺序当众开启， 公布项目名称、供应商名称、响应报价、服务期限及其他内容，并记录在案；</w:t>
      </w:r>
    </w:p>
    <w:p w14:paraId="1089FAA4">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（2）（B</w:t>
      </w:r>
      <w:r>
        <w:rPr>
          <w:rFonts w:ascii="仿宋" w:hAnsi="仿宋" w:eastAsia="仿宋" w:cs="仿宋"/>
          <w:sz w:val="24"/>
          <w:szCs w:val="24"/>
        </w:rPr>
        <w:t>）</w:t>
      </w:r>
      <w:r>
        <w:rPr>
          <w:rFonts w:hint="eastAsia" w:ascii="仿宋" w:hAnsi="仿宋" w:eastAsia="仿宋" w:cs="仿宋"/>
          <w:sz w:val="24"/>
          <w:szCs w:val="24"/>
        </w:rPr>
        <w:t>公布在递交响应文件的截止时间前通过“优质采云采购平台”</w:t>
      </w:r>
      <w:r>
        <w:fldChar w:fldCharType="begin"/>
      </w:r>
      <w:r>
        <w:instrText xml:space="preserve"> HYPERLINK "http://www.youzhicai.com）购买并下载招标文件。" </w:instrText>
      </w:r>
      <w:r>
        <w:fldChar w:fldCharType="separate"/>
      </w:r>
      <w:r>
        <w:rPr>
          <w:rFonts w:hint="eastAsia" w:ascii="仿宋" w:hAnsi="仿宋" w:eastAsia="仿宋" w:cs="仿宋"/>
          <w:sz w:val="24"/>
          <w:szCs w:val="24"/>
        </w:rPr>
        <w:t>（http://www.youzhicai.com/）</w:t>
      </w:r>
      <w:r>
        <w:rPr>
          <w:rFonts w:hint="eastAsia" w:ascii="仿宋" w:hAnsi="仿宋" w:eastAsia="仿宋" w:cs="仿宋"/>
          <w:sz w:val="24"/>
          <w:szCs w:val="24"/>
        </w:rPr>
        <w:fldChar w:fldCharType="end"/>
      </w:r>
      <w:r>
        <w:rPr>
          <w:rFonts w:hint="eastAsia" w:ascii="仿宋" w:hAnsi="仿宋" w:eastAsia="仿宋" w:cs="仿宋"/>
          <w:sz w:val="24"/>
          <w:szCs w:val="24"/>
        </w:rPr>
        <w:t>完成响应文件递交的供应商名称；</w:t>
      </w:r>
    </w:p>
    <w:p w14:paraId="572A4BC5">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（3）（B</w:t>
      </w:r>
      <w:r>
        <w:rPr>
          <w:rFonts w:ascii="仿宋" w:hAnsi="仿宋" w:eastAsia="仿宋" w:cs="仿宋"/>
          <w:sz w:val="24"/>
          <w:szCs w:val="24"/>
        </w:rPr>
        <w:t>）</w:t>
      </w:r>
      <w:r>
        <w:rPr>
          <w:rFonts w:hint="eastAsia" w:ascii="仿宋" w:hAnsi="仿宋" w:eastAsia="仿宋" w:cs="仿宋"/>
          <w:sz w:val="24"/>
          <w:szCs w:val="24"/>
        </w:rPr>
        <w:t>供应商在递交响应文件的截止时间后在供应商须知前附表规定的解密时间内完成响应文件的解密工作；采购人（或采购代理机构）完成解密工作，导入并读取所有成功解密的采购文件，或采购人（或采购代理机构）成功导入现场递交的非加密采购文件；</w:t>
      </w:r>
    </w:p>
    <w:p w14:paraId="4C6A5638">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（4）公布供应商名称、采购项目名称、采购包名称、响应报价等信息；</w:t>
      </w:r>
    </w:p>
    <w:p w14:paraId="61757AAD">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（5）（A）供应商代表、采购人代表、记录人等有关人员在开标记录上签字确认；</w:t>
      </w:r>
    </w:p>
    <w:p w14:paraId="4F16B4F7">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（5）（B）供应商代表、采购人代表、监标人等有关人员使用本人的电子印章在开标记录上签字确认；</w:t>
      </w:r>
    </w:p>
    <w:p w14:paraId="6914DDA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（6）开启会议结束。</w:t>
      </w:r>
    </w:p>
    <w:p w14:paraId="1962B28D">
      <w:pPr>
        <w:pStyle w:val="4"/>
        <w:spacing w:line="240" w:lineRule="auto"/>
        <w:ind w:firstLine="137"/>
        <w:rPr>
          <w:rFonts w:hint="eastAsia" w:ascii="仿宋" w:hAnsi="仿宋" w:eastAsia="仿宋" w:cs="仿宋"/>
        </w:rPr>
      </w:pPr>
      <w:bookmarkStart w:id="223" w:name="_Toc9902"/>
      <w:bookmarkStart w:id="224" w:name="_Toc196323412"/>
      <w:r>
        <w:rPr>
          <w:rFonts w:hint="eastAsia" w:ascii="仿宋" w:hAnsi="仿宋" w:eastAsia="仿宋" w:cs="仿宋"/>
        </w:rPr>
        <w:t>5.3 递交响应文件的供应商不足的情形</w:t>
      </w:r>
      <w:bookmarkEnd w:id="223"/>
      <w:bookmarkEnd w:id="224"/>
    </w:p>
    <w:p w14:paraId="56B0295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采购项目选择一家成交供应商时，递交响应文件的供应商数量不足三家的，或采购项目选择多家成交供应商时，递交响应文件的供应商数量少于</w:t>
      </w:r>
      <w:r>
        <w:rPr>
          <w:rFonts w:hint="eastAsia" w:ascii="仿宋" w:hAnsi="仿宋" w:eastAsia="仿宋" w:cs="仿宋"/>
          <w:b/>
          <w:sz w:val="24"/>
          <w:szCs w:val="24"/>
        </w:rPr>
        <w:t>供应商须知前附表</w:t>
      </w:r>
      <w:r>
        <w:rPr>
          <w:rFonts w:hint="eastAsia" w:ascii="仿宋" w:hAnsi="仿宋" w:eastAsia="仿宋" w:cs="仿宋"/>
          <w:sz w:val="24"/>
          <w:szCs w:val="24"/>
        </w:rPr>
        <w:t>规定数量的，采购人可按照下述情形分别处理：</w:t>
      </w:r>
    </w:p>
    <w:p w14:paraId="0C7AFCA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（1）终止询比并重新组织采购</w:t>
      </w:r>
    </w:p>
    <w:p w14:paraId="046A9A3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采购项目存在影响公平竞争情形的，采购人应当终止询比采购，并根据不同情形和原因，采取相应纠正措施，重新组织采购。</w:t>
      </w:r>
    </w:p>
    <w:p w14:paraId="3580884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采购项目不存在影响公平竞争情形的，采购人也可以选择终止询比采购，采取相应完善措施，重新组织采购。</w:t>
      </w:r>
    </w:p>
    <w:p w14:paraId="404CA1E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（2）继续询比采购</w:t>
      </w:r>
    </w:p>
    <w:p w14:paraId="3F96EEE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项目不存在应该终止询比情形，且采购人也没有自行选择终止询比采购的，采购人应按照本章第5.2款规定的程序继续开启响应文件，并按第三章“评审办法”规定的规则组织响应文件评审，完成询比采购后续程序。</w:t>
      </w:r>
    </w:p>
    <w:p w14:paraId="51BD484D">
      <w:pPr>
        <w:pStyle w:val="3"/>
        <w:rPr>
          <w:rFonts w:hint="eastAsia" w:ascii="仿宋" w:hAnsi="仿宋" w:eastAsia="仿宋" w:cs="仿宋"/>
        </w:rPr>
      </w:pPr>
      <w:bookmarkStart w:id="225" w:name="_Toc501460685"/>
      <w:bookmarkStart w:id="226" w:name="_Toc196323413"/>
      <w:bookmarkStart w:id="227" w:name="_Toc6512"/>
      <w:r>
        <w:rPr>
          <w:rFonts w:hint="eastAsia" w:ascii="仿宋" w:hAnsi="仿宋" w:eastAsia="仿宋" w:cs="仿宋"/>
        </w:rPr>
        <w:t>6.</w:t>
      </w:r>
      <w:bookmarkEnd w:id="225"/>
      <w:r>
        <w:rPr>
          <w:rFonts w:hint="eastAsia" w:ascii="仿宋" w:hAnsi="仿宋" w:eastAsia="仿宋" w:cs="仿宋"/>
        </w:rPr>
        <w:t>评审</w:t>
      </w:r>
      <w:bookmarkEnd w:id="226"/>
      <w:bookmarkEnd w:id="227"/>
    </w:p>
    <w:p w14:paraId="6FD832DA">
      <w:pPr>
        <w:pStyle w:val="4"/>
        <w:spacing w:line="240" w:lineRule="auto"/>
        <w:ind w:firstLine="137"/>
        <w:rPr>
          <w:rFonts w:hint="eastAsia" w:ascii="仿宋" w:hAnsi="仿宋" w:eastAsia="仿宋" w:cs="仿宋"/>
        </w:rPr>
      </w:pPr>
      <w:bookmarkStart w:id="228" w:name="_Toc501460686"/>
      <w:bookmarkStart w:id="229" w:name="_Toc196323414"/>
      <w:bookmarkStart w:id="230" w:name="_Toc11943"/>
      <w:r>
        <w:rPr>
          <w:rFonts w:hint="eastAsia" w:ascii="仿宋" w:hAnsi="仿宋" w:eastAsia="仿宋" w:cs="仿宋"/>
        </w:rPr>
        <w:t xml:space="preserve">6.1 </w:t>
      </w:r>
      <w:bookmarkEnd w:id="228"/>
      <w:r>
        <w:rPr>
          <w:rFonts w:hint="eastAsia" w:ascii="仿宋" w:hAnsi="仿宋" w:eastAsia="仿宋" w:cs="仿宋"/>
        </w:rPr>
        <w:t>评审小组</w:t>
      </w:r>
      <w:bookmarkEnd w:id="229"/>
      <w:bookmarkEnd w:id="230"/>
    </w:p>
    <w:p w14:paraId="4247BAC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6.1.1 评审由采购人组建的评审小组负责。</w:t>
      </w:r>
    </w:p>
    <w:p w14:paraId="1F11ABF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6.1.2 评审小组成员有下列情形之一的，应当回避：</w:t>
      </w:r>
    </w:p>
    <w:p w14:paraId="3149CFA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（1）供应商主要负责人或供应商主要负责人的近亲属；</w:t>
      </w:r>
    </w:p>
    <w:p w14:paraId="1754A6C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（2）与供应商有经济利益关系或其他利害关系，可能影响公正评审的。</w:t>
      </w:r>
    </w:p>
    <w:p w14:paraId="69C9DAB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6.1.3 评审小组组建后，评审小组成员共同推选或由采购人指定评审小组组长，评审小组组长负责组织评审工作。</w:t>
      </w:r>
    </w:p>
    <w:p w14:paraId="5334DC1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6.1.4 在评审过程中，评审小组成员对需要共同认定的事项存在争议的，将按照少数服从多数的原则作出结论。持不同意见的评审小组成员应当在评审报告上签署不同意见及理由，否则视为同意评审报告。</w:t>
      </w:r>
    </w:p>
    <w:p w14:paraId="1A0840FB">
      <w:pPr>
        <w:pStyle w:val="4"/>
        <w:spacing w:line="240" w:lineRule="auto"/>
        <w:ind w:firstLine="137"/>
        <w:rPr>
          <w:rFonts w:hint="eastAsia" w:ascii="仿宋" w:hAnsi="仿宋" w:eastAsia="仿宋" w:cs="仿宋"/>
        </w:rPr>
      </w:pPr>
      <w:bookmarkStart w:id="231" w:name="_Toc32568"/>
      <w:bookmarkStart w:id="232" w:name="_Toc196323415"/>
      <w:bookmarkStart w:id="233" w:name="_Toc501460687"/>
      <w:r>
        <w:rPr>
          <w:rFonts w:hint="eastAsia" w:ascii="仿宋" w:hAnsi="仿宋" w:eastAsia="仿宋" w:cs="仿宋"/>
        </w:rPr>
        <w:t>6.2评审</w:t>
      </w:r>
      <w:bookmarkEnd w:id="231"/>
      <w:bookmarkEnd w:id="232"/>
      <w:bookmarkEnd w:id="233"/>
    </w:p>
    <w:p w14:paraId="7220213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6.2.1 评审小组按照第三章“评审办法”规定的评审标准和程序对响应文件进行评审和比较。</w:t>
      </w:r>
    </w:p>
    <w:p w14:paraId="6BC1A37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6.2.2 评审完成后，评审小组应当向采购人提交书面评审报告和候选成交供应商名单。评审小组推荐候选成交供应商的排序要求及数量见</w:t>
      </w:r>
      <w:r>
        <w:rPr>
          <w:rFonts w:hint="eastAsia" w:ascii="仿宋" w:hAnsi="仿宋" w:eastAsia="仿宋" w:cs="仿宋"/>
          <w:b/>
          <w:sz w:val="24"/>
          <w:szCs w:val="24"/>
        </w:rPr>
        <w:t>供应商须知前附表</w:t>
      </w:r>
      <w:r>
        <w:rPr>
          <w:rFonts w:hint="eastAsia" w:ascii="仿宋" w:hAnsi="仿宋" w:eastAsia="仿宋" w:cs="仿宋"/>
          <w:sz w:val="24"/>
          <w:szCs w:val="24"/>
        </w:rPr>
        <w:t>。</w:t>
      </w:r>
    </w:p>
    <w:p w14:paraId="0C89EE6F">
      <w:pPr>
        <w:pStyle w:val="3"/>
        <w:rPr>
          <w:rFonts w:hint="eastAsia" w:ascii="仿宋" w:hAnsi="仿宋" w:eastAsia="仿宋" w:cs="仿宋"/>
        </w:rPr>
      </w:pPr>
      <w:bookmarkStart w:id="234" w:name="_Toc4824"/>
      <w:bookmarkStart w:id="235" w:name="_Toc501460689"/>
      <w:bookmarkStart w:id="236" w:name="_Toc196323416"/>
      <w:r>
        <w:rPr>
          <w:rFonts w:hint="eastAsia" w:ascii="仿宋" w:hAnsi="仿宋" w:eastAsia="仿宋" w:cs="仿宋"/>
        </w:rPr>
        <w:t>7. 合同授予</w:t>
      </w:r>
      <w:bookmarkEnd w:id="234"/>
      <w:bookmarkEnd w:id="235"/>
      <w:bookmarkEnd w:id="236"/>
    </w:p>
    <w:p w14:paraId="3EC72C4F">
      <w:pPr>
        <w:pStyle w:val="4"/>
        <w:spacing w:line="240" w:lineRule="auto"/>
        <w:ind w:firstLine="137"/>
        <w:rPr>
          <w:rFonts w:hint="eastAsia" w:ascii="仿宋" w:hAnsi="仿宋" w:eastAsia="仿宋" w:cs="仿宋"/>
        </w:rPr>
      </w:pPr>
      <w:bookmarkStart w:id="237" w:name="_Toc458504854"/>
      <w:bookmarkStart w:id="238" w:name="_Toc371415955"/>
      <w:bookmarkStart w:id="239" w:name="_Toc349730879"/>
      <w:bookmarkStart w:id="240" w:name="_Toc362252685"/>
      <w:bookmarkStart w:id="241" w:name="_Toc455587071"/>
      <w:bookmarkStart w:id="242" w:name="_Toc466024536"/>
      <w:bookmarkStart w:id="243" w:name="_Toc455587255"/>
      <w:bookmarkStart w:id="244" w:name="_Toc445554728"/>
      <w:bookmarkStart w:id="245" w:name="_Toc26163"/>
      <w:bookmarkStart w:id="246" w:name="_Toc196323417"/>
      <w:bookmarkStart w:id="247" w:name="_Toc501460695"/>
      <w:r>
        <w:rPr>
          <w:rFonts w:ascii="仿宋" w:hAnsi="仿宋" w:eastAsia="仿宋" w:cs="仿宋"/>
        </w:rPr>
        <w:t>7.1</w:t>
      </w:r>
      <w:bookmarkEnd w:id="237"/>
      <w:bookmarkEnd w:id="238"/>
      <w:bookmarkEnd w:id="239"/>
      <w:bookmarkEnd w:id="240"/>
      <w:bookmarkEnd w:id="241"/>
      <w:bookmarkEnd w:id="242"/>
      <w:bookmarkEnd w:id="243"/>
      <w:bookmarkEnd w:id="244"/>
      <w:r>
        <w:rPr>
          <w:rFonts w:ascii="仿宋" w:hAnsi="仿宋" w:eastAsia="仿宋" w:cs="仿宋"/>
        </w:rPr>
        <w:t xml:space="preserve"> </w:t>
      </w:r>
      <w:r>
        <w:rPr>
          <w:rFonts w:hint="eastAsia" w:ascii="仿宋" w:hAnsi="仿宋" w:eastAsia="仿宋" w:cs="仿宋"/>
        </w:rPr>
        <w:t>确定成交供应商</w:t>
      </w:r>
      <w:bookmarkEnd w:id="245"/>
      <w:bookmarkEnd w:id="246"/>
    </w:p>
    <w:p w14:paraId="59C87672">
      <w:pPr>
        <w:widowControl/>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7.1.1 按照供应商须知前附表规定，采购人或采购人</w:t>
      </w:r>
      <w:r>
        <w:rPr>
          <w:rFonts w:hint="eastAsia" w:ascii="宋体" w:hAnsi="宋体" w:eastAsia="仿宋"/>
          <w:sz w:val="24"/>
        </w:rPr>
        <w:t>授权磋商小组</w:t>
      </w:r>
      <w:r>
        <w:rPr>
          <w:rFonts w:hint="eastAsia" w:ascii="仿宋" w:hAnsi="仿宋" w:eastAsia="仿宋" w:cs="仿宋"/>
          <w:kern w:val="0"/>
          <w:sz w:val="24"/>
        </w:rPr>
        <w:t>在评审报告确定的成交候选供应商名单中按顺序确定成交供应商。</w:t>
      </w:r>
    </w:p>
    <w:p w14:paraId="1DEE6CC1">
      <w:pPr>
        <w:widowControl/>
        <w:adjustRightInd w:val="0"/>
        <w:snapToGrid w:val="0"/>
        <w:spacing w:line="360" w:lineRule="auto"/>
        <w:ind w:firstLine="480" w:firstLineChars="200"/>
        <w:rPr>
          <w:rFonts w:eastAsia="仿宋"/>
          <w:sz w:val="24"/>
        </w:rPr>
      </w:pPr>
      <w:r>
        <w:rPr>
          <w:rFonts w:hint="eastAsia" w:ascii="宋体" w:hAnsi="宋体" w:cs="宋体"/>
          <w:sz w:val="24"/>
        </w:rPr>
        <w:t xml:space="preserve">7.1.2 </w:t>
      </w:r>
      <w:r>
        <w:rPr>
          <w:rFonts w:hint="eastAsia" w:eastAsia="仿宋"/>
          <w:sz w:val="24"/>
        </w:rPr>
        <w:t>采购人确定成交供应商后，按供应商须知前附表规定的方式与内容公告成交结果。</w:t>
      </w:r>
    </w:p>
    <w:p w14:paraId="5ECADB31">
      <w:pPr>
        <w:pStyle w:val="4"/>
        <w:spacing w:line="240" w:lineRule="auto"/>
        <w:ind w:firstLine="137"/>
        <w:rPr>
          <w:rFonts w:hint="eastAsia" w:ascii="仿宋" w:hAnsi="仿宋" w:eastAsia="仿宋" w:cs="仿宋"/>
        </w:rPr>
      </w:pPr>
      <w:bookmarkStart w:id="248" w:name="_Toc9953"/>
      <w:bookmarkStart w:id="249" w:name="_Toc196323418"/>
      <w:r>
        <w:rPr>
          <w:rFonts w:ascii="仿宋" w:hAnsi="仿宋" w:eastAsia="仿宋" w:cs="仿宋"/>
        </w:rPr>
        <w:t>7.2</w:t>
      </w:r>
      <w:bookmarkStart w:id="250" w:name="_Toc455587256"/>
      <w:bookmarkStart w:id="251" w:name="_Toc371415957"/>
      <w:bookmarkStart w:id="252" w:name="_Toc349730880"/>
      <w:bookmarkStart w:id="253" w:name="_Toc458504855"/>
      <w:bookmarkStart w:id="254" w:name="_Toc362252686"/>
      <w:bookmarkStart w:id="255" w:name="_Toc455587072"/>
      <w:bookmarkStart w:id="256" w:name="_Toc445554730"/>
      <w:bookmarkStart w:id="257" w:name="_Toc466024537"/>
      <w:r>
        <w:rPr>
          <w:rFonts w:ascii="仿宋" w:hAnsi="仿宋" w:eastAsia="仿宋" w:cs="仿宋"/>
        </w:rPr>
        <w:t xml:space="preserve"> </w:t>
      </w:r>
      <w:r>
        <w:rPr>
          <w:rFonts w:hint="eastAsia" w:ascii="仿宋" w:hAnsi="仿宋" w:eastAsia="仿宋" w:cs="仿宋"/>
        </w:rPr>
        <w:t>成交通知</w:t>
      </w:r>
      <w:bookmarkEnd w:id="248"/>
      <w:bookmarkEnd w:id="249"/>
      <w:bookmarkEnd w:id="250"/>
      <w:bookmarkEnd w:id="251"/>
      <w:bookmarkEnd w:id="252"/>
      <w:bookmarkEnd w:id="253"/>
      <w:bookmarkEnd w:id="254"/>
      <w:bookmarkEnd w:id="255"/>
      <w:bookmarkEnd w:id="256"/>
      <w:bookmarkEnd w:id="257"/>
    </w:p>
    <w:p w14:paraId="7CF31291">
      <w:pPr>
        <w:widowControl/>
        <w:adjustRightInd w:val="0"/>
        <w:snapToGrid w:val="0"/>
        <w:spacing w:line="360" w:lineRule="auto"/>
        <w:ind w:firstLine="480" w:firstLineChars="200"/>
        <w:rPr>
          <w:rFonts w:hint="eastAsia" w:ascii="宋体" w:hAnsi="宋体" w:eastAsia="仿宋"/>
          <w:sz w:val="24"/>
        </w:rPr>
      </w:pPr>
      <w:r>
        <w:rPr>
          <w:rFonts w:hint="eastAsia" w:ascii="宋体" w:hAnsi="宋体" w:eastAsia="仿宋"/>
          <w:sz w:val="24"/>
        </w:rPr>
        <w:t xml:space="preserve">7.2.1 </w:t>
      </w:r>
      <w:r>
        <w:rPr>
          <w:rFonts w:hint="eastAsia" w:eastAsia="仿宋"/>
          <w:sz w:val="24"/>
        </w:rPr>
        <w:t>成交结果确定后，采购人以书面形式向成交供应商发出成交通知书。</w:t>
      </w:r>
    </w:p>
    <w:p w14:paraId="42999264">
      <w:pPr>
        <w:pStyle w:val="4"/>
        <w:spacing w:line="240" w:lineRule="auto"/>
        <w:ind w:firstLine="137"/>
        <w:rPr>
          <w:rFonts w:hint="eastAsia" w:ascii="仿宋" w:hAnsi="仿宋" w:eastAsia="仿宋" w:cs="仿宋"/>
        </w:rPr>
      </w:pPr>
      <w:bookmarkStart w:id="258" w:name="_Toc196323419"/>
      <w:bookmarkStart w:id="259" w:name="_Toc17479"/>
      <w:r>
        <w:rPr>
          <w:rFonts w:hint="eastAsia" w:ascii="仿宋" w:hAnsi="仿宋" w:eastAsia="仿宋" w:cs="仿宋"/>
        </w:rPr>
        <w:t>7.3履约保证金</w:t>
      </w:r>
      <w:bookmarkEnd w:id="247"/>
      <w:bookmarkEnd w:id="258"/>
      <w:bookmarkEnd w:id="259"/>
    </w:p>
    <w:p w14:paraId="3A5BEE9E">
      <w:pPr>
        <w:widowControl/>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供应商须知前附表规定递交履约保证金的，成交供应商应按</w:t>
      </w:r>
      <w:r>
        <w:rPr>
          <w:rFonts w:hint="eastAsia" w:ascii="仿宋" w:hAnsi="仿宋" w:eastAsia="仿宋" w:cs="仿宋"/>
          <w:iCs/>
          <w:sz w:val="24"/>
          <w:szCs w:val="24"/>
        </w:rPr>
        <w:t>供应商须知前附表</w:t>
      </w:r>
      <w:r>
        <w:rPr>
          <w:rFonts w:hint="eastAsia" w:ascii="仿宋" w:hAnsi="仿宋" w:eastAsia="仿宋" w:cs="仿宋"/>
          <w:sz w:val="24"/>
          <w:szCs w:val="24"/>
        </w:rPr>
        <w:t>规定的形式、退还时间、递交时间向采购人递交履约保证金。除</w:t>
      </w:r>
      <w:r>
        <w:rPr>
          <w:rFonts w:hint="eastAsia" w:ascii="仿宋" w:hAnsi="仿宋" w:eastAsia="仿宋" w:cs="仿宋"/>
          <w:iCs/>
          <w:sz w:val="24"/>
          <w:szCs w:val="24"/>
        </w:rPr>
        <w:t>供应商须知前附表</w:t>
      </w:r>
      <w:r>
        <w:rPr>
          <w:rFonts w:hint="eastAsia" w:ascii="仿宋" w:hAnsi="仿宋" w:eastAsia="仿宋" w:cs="仿宋"/>
          <w:sz w:val="24"/>
          <w:szCs w:val="24"/>
        </w:rPr>
        <w:t>另有规定外，履约保证金为采购合同金额的5%。</w:t>
      </w:r>
    </w:p>
    <w:p w14:paraId="5587E403">
      <w:pPr>
        <w:pStyle w:val="4"/>
        <w:spacing w:line="240" w:lineRule="auto"/>
        <w:ind w:firstLine="137"/>
        <w:rPr>
          <w:rFonts w:hint="eastAsia" w:ascii="仿宋" w:hAnsi="仿宋" w:eastAsia="仿宋" w:cs="仿宋"/>
        </w:rPr>
      </w:pPr>
      <w:bookmarkStart w:id="260" w:name="_Toc24246"/>
      <w:bookmarkStart w:id="261" w:name="_Toc501460696"/>
      <w:bookmarkStart w:id="262" w:name="_Toc196323420"/>
      <w:r>
        <w:rPr>
          <w:rFonts w:hint="eastAsia" w:ascii="仿宋" w:hAnsi="仿宋" w:eastAsia="仿宋" w:cs="仿宋"/>
        </w:rPr>
        <w:t>7.4 签订合同</w:t>
      </w:r>
      <w:bookmarkEnd w:id="260"/>
      <w:bookmarkEnd w:id="261"/>
      <w:bookmarkEnd w:id="262"/>
    </w:p>
    <w:p w14:paraId="0D78A74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7.4.1 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45F83C9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7.4.2 发出成交通知书后，采购人无正当理由拒绝签订合同，或者在签订合同时向成交供应商提出附加条件的，采购人向成交供应商退还响应保证金；给成交供应商造成损失的，还应当赔偿损失。</w:t>
      </w:r>
    </w:p>
    <w:p w14:paraId="14153A8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7.4.3 联合体成交的，联合体各方应当共同与采购人签订合同，就成交项目向采购人承担连带责任。</w:t>
      </w:r>
    </w:p>
    <w:p w14:paraId="25B9C473">
      <w:pPr>
        <w:pStyle w:val="4"/>
        <w:spacing w:line="240" w:lineRule="auto"/>
        <w:ind w:firstLine="137"/>
        <w:rPr>
          <w:rFonts w:hint="eastAsia" w:ascii="仿宋" w:hAnsi="仿宋" w:eastAsia="仿宋" w:cs="仿宋"/>
          <w:b/>
        </w:rPr>
      </w:pPr>
      <w:bookmarkStart w:id="263" w:name="_Toc17589"/>
      <w:bookmarkStart w:id="264" w:name="_Toc196323421"/>
      <w:r>
        <w:rPr>
          <w:rFonts w:hint="eastAsia" w:ascii="仿宋" w:hAnsi="仿宋" w:eastAsia="仿宋" w:cs="仿宋"/>
        </w:rPr>
        <w:t>7.5 特殊情形处理</w:t>
      </w:r>
      <w:bookmarkEnd w:id="263"/>
      <w:bookmarkEnd w:id="264"/>
    </w:p>
    <w:p w14:paraId="345F090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因供应商对成交结果提出异议、成交供应商无正当理由拒绝签订合同、成交供应商在签订合同时向采购人提出附加条件或者不按照采购文件要求递交履约保证金等导致采购人变更成交结果的，采</w:t>
      </w:r>
      <w:r>
        <w:rPr>
          <w:rFonts w:hint="eastAsia" w:eastAsia="仿宋"/>
          <w:sz w:val="24"/>
        </w:rPr>
        <w:t>购人可以按照评审报告推荐的成交候选供应商名单排序，确定下一候选人为成交供应商，也可以重新开展采购活动</w:t>
      </w:r>
      <w:r>
        <w:rPr>
          <w:rFonts w:hint="eastAsia" w:ascii="宋体" w:hAnsi="宋体" w:eastAsia="仿宋"/>
          <w:sz w:val="24"/>
        </w:rPr>
        <w:t>。</w:t>
      </w:r>
    </w:p>
    <w:p w14:paraId="294111E0">
      <w:pPr>
        <w:pStyle w:val="3"/>
        <w:rPr>
          <w:rFonts w:hint="eastAsia" w:ascii="仿宋" w:hAnsi="仿宋" w:eastAsia="仿宋" w:cs="仿宋"/>
        </w:rPr>
      </w:pPr>
      <w:bookmarkStart w:id="265" w:name="_Toc2886"/>
      <w:bookmarkStart w:id="266" w:name="_Toc196323422"/>
      <w:r>
        <w:rPr>
          <w:rFonts w:hint="eastAsia" w:ascii="仿宋" w:hAnsi="仿宋" w:eastAsia="仿宋" w:cs="仿宋"/>
        </w:rPr>
        <w:t>8. 异议</w:t>
      </w:r>
      <w:bookmarkEnd w:id="265"/>
      <w:bookmarkEnd w:id="266"/>
    </w:p>
    <w:p w14:paraId="4BC13CDF">
      <w:pPr>
        <w:pStyle w:val="4"/>
        <w:spacing w:line="240" w:lineRule="auto"/>
        <w:ind w:firstLine="137"/>
        <w:rPr>
          <w:rFonts w:hint="eastAsia" w:ascii="仿宋" w:hAnsi="仿宋" w:eastAsia="仿宋" w:cs="仿宋"/>
        </w:rPr>
      </w:pPr>
      <w:bookmarkStart w:id="267" w:name="_Toc17562"/>
      <w:bookmarkStart w:id="268" w:name="_Toc196323423"/>
      <w:r>
        <w:rPr>
          <w:rFonts w:hint="eastAsia" w:ascii="仿宋" w:hAnsi="仿宋" w:eastAsia="仿宋" w:cs="仿宋"/>
        </w:rPr>
        <w:t>8.1 提出异议</w:t>
      </w:r>
      <w:bookmarkEnd w:id="267"/>
      <w:bookmarkEnd w:id="268"/>
    </w:p>
    <w:p w14:paraId="1FDBED3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供应商或者其他利害关系人可以对成交公告提出异议。异议应在成交公告期间通过供应商须知前附表规定的异议渠道提出，并递交异议函和必要的证明材料。异议函包括但不限于下列内容：</w:t>
      </w:r>
    </w:p>
    <w:p w14:paraId="11A4B0C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（1）异议人名称、地址、邮政编码、联系人及联系电话；</w:t>
      </w:r>
    </w:p>
    <w:p w14:paraId="33A5708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（2）具体、明确的异议事项、事实依据及与异议事项相关的请求。</w:t>
      </w:r>
    </w:p>
    <w:p w14:paraId="46BADA4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异议函应由异议人的法定代表人（单位负责人）或者其授权代表签字并加盖单位章。</w:t>
      </w:r>
    </w:p>
    <w:p w14:paraId="78D40FA6">
      <w:pPr>
        <w:pStyle w:val="4"/>
        <w:spacing w:line="240" w:lineRule="auto"/>
        <w:ind w:firstLine="137"/>
        <w:rPr>
          <w:rFonts w:hint="eastAsia" w:ascii="仿宋" w:hAnsi="仿宋" w:eastAsia="仿宋" w:cs="仿宋"/>
        </w:rPr>
      </w:pPr>
      <w:bookmarkStart w:id="269" w:name="_Toc196323424"/>
      <w:bookmarkStart w:id="270" w:name="_Toc19835"/>
      <w:r>
        <w:rPr>
          <w:rFonts w:hint="eastAsia" w:ascii="仿宋" w:hAnsi="仿宋" w:eastAsia="仿宋" w:cs="仿宋"/>
        </w:rPr>
        <w:t>8.2 异议处理</w:t>
      </w:r>
      <w:bookmarkEnd w:id="269"/>
      <w:bookmarkEnd w:id="270"/>
    </w:p>
    <w:p w14:paraId="124B21D6">
      <w:pPr>
        <w:spacing w:line="400" w:lineRule="exact"/>
        <w:ind w:firstLine="480" w:firstLineChars="200"/>
        <w:rPr>
          <w:rFonts w:hint="eastAsia" w:ascii="仿宋" w:hAnsi="仿宋" w:eastAsia="仿宋" w:cs="仿宋"/>
          <w:sz w:val="24"/>
          <w:szCs w:val="24"/>
        </w:rPr>
      </w:pPr>
      <w:bookmarkStart w:id="271" w:name="_Toc24067"/>
      <w:bookmarkStart w:id="272" w:name="_Toc384308252"/>
      <w:bookmarkStart w:id="273" w:name="_Toc361508627"/>
      <w:bookmarkStart w:id="274" w:name="_Toc501460697"/>
      <w:bookmarkStart w:id="275" w:name="_Toc247513992"/>
      <w:bookmarkStart w:id="276" w:name="_Toc300834991"/>
      <w:bookmarkStart w:id="277" w:name="_Toc247527593"/>
      <w:bookmarkStart w:id="278" w:name="_Toc152042344"/>
      <w:bookmarkStart w:id="279" w:name="_Toc144974536"/>
      <w:bookmarkStart w:id="280" w:name="_Toc152045568"/>
      <w:r>
        <w:rPr>
          <w:rFonts w:hint="eastAsia" w:ascii="仿宋" w:hAnsi="仿宋" w:eastAsia="仿宋" w:cs="仿宋"/>
          <w:sz w:val="24"/>
          <w:szCs w:val="24"/>
        </w:rPr>
        <w:t>采购人将针对异议提出的问题进行核查，经过核查，发现异议提出人对相关问题理解有误的，应作出解释；发现采购活动中确实存在错误或不当行为的，应及时予以改正或补救。</w:t>
      </w:r>
    </w:p>
    <w:p w14:paraId="2D62E3DF">
      <w:pPr>
        <w:spacing w:line="400" w:lineRule="exact"/>
        <w:ind w:firstLine="480" w:firstLineChars="200"/>
        <w:rPr>
          <w:rFonts w:hint="eastAsia" w:ascii="仿宋" w:hAnsi="仿宋" w:eastAsia="仿宋" w:cs="仿宋"/>
        </w:rPr>
      </w:pPr>
      <w:r>
        <w:rPr>
          <w:rFonts w:hint="eastAsia" w:ascii="仿宋" w:hAnsi="仿宋" w:eastAsia="仿宋" w:cs="仿宋"/>
          <w:sz w:val="24"/>
          <w:szCs w:val="24"/>
        </w:rPr>
        <w:t>采购人认为异议不成立或不影响采购结果的，可以继续进行采购活动。</w:t>
      </w:r>
    </w:p>
    <w:p w14:paraId="2201B2F5">
      <w:pPr>
        <w:pStyle w:val="3"/>
        <w:rPr>
          <w:rFonts w:hint="eastAsia" w:ascii="仿宋" w:hAnsi="仿宋" w:eastAsia="仿宋" w:cs="仿宋"/>
        </w:rPr>
      </w:pPr>
      <w:bookmarkStart w:id="281" w:name="_Toc16496"/>
      <w:bookmarkStart w:id="282" w:name="_Toc196323425"/>
      <w:r>
        <w:rPr>
          <w:rFonts w:hint="eastAsia" w:ascii="仿宋" w:hAnsi="仿宋" w:eastAsia="仿宋" w:cs="仿宋"/>
        </w:rPr>
        <w:t>9.</w:t>
      </w:r>
      <w:bookmarkEnd w:id="271"/>
      <w:bookmarkEnd w:id="272"/>
      <w:bookmarkEnd w:id="273"/>
      <w:r>
        <w:rPr>
          <w:rFonts w:hint="eastAsia" w:ascii="仿宋" w:hAnsi="仿宋" w:eastAsia="仿宋" w:cs="仿宋"/>
        </w:rPr>
        <w:t xml:space="preserve"> 纪律</w:t>
      </w:r>
      <w:bookmarkEnd w:id="274"/>
      <w:r>
        <w:rPr>
          <w:rFonts w:hint="eastAsia" w:ascii="仿宋" w:hAnsi="仿宋" w:eastAsia="仿宋" w:cs="仿宋"/>
        </w:rPr>
        <w:t>要求</w:t>
      </w:r>
      <w:bookmarkEnd w:id="281"/>
      <w:bookmarkEnd w:id="282"/>
    </w:p>
    <w:p w14:paraId="5A2492D8">
      <w:pPr>
        <w:pStyle w:val="4"/>
        <w:spacing w:line="240" w:lineRule="auto"/>
        <w:ind w:firstLine="137"/>
        <w:rPr>
          <w:rFonts w:hint="eastAsia" w:ascii="仿宋" w:hAnsi="仿宋" w:eastAsia="仿宋" w:cs="仿宋"/>
        </w:rPr>
      </w:pPr>
      <w:bookmarkStart w:id="283" w:name="_Toc196323426"/>
      <w:bookmarkStart w:id="284" w:name="_Toc31288"/>
      <w:bookmarkStart w:id="285" w:name="_Toc501460698"/>
      <w:r>
        <w:rPr>
          <w:rFonts w:hint="eastAsia" w:ascii="仿宋" w:hAnsi="仿宋" w:eastAsia="仿宋" w:cs="仿宋"/>
        </w:rPr>
        <w:t>9.1 对采购人的纪律要求</w:t>
      </w:r>
      <w:bookmarkEnd w:id="283"/>
      <w:bookmarkEnd w:id="284"/>
      <w:bookmarkEnd w:id="285"/>
    </w:p>
    <w:p w14:paraId="65DF1F5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采购人不得泄露询比采购活动中应当保密的情况和资料，不得与供应商串通损害国家利益、社会公共利益或者他人合法权益。</w:t>
      </w:r>
    </w:p>
    <w:p w14:paraId="73621894">
      <w:pPr>
        <w:pStyle w:val="4"/>
        <w:spacing w:line="240" w:lineRule="auto"/>
        <w:ind w:firstLine="137"/>
        <w:rPr>
          <w:rFonts w:hint="eastAsia" w:ascii="仿宋" w:hAnsi="仿宋" w:eastAsia="仿宋" w:cs="仿宋"/>
        </w:rPr>
      </w:pPr>
      <w:bookmarkStart w:id="286" w:name="_Toc501460699"/>
      <w:bookmarkStart w:id="287" w:name="_Toc8857"/>
      <w:bookmarkStart w:id="288" w:name="_Toc196323427"/>
      <w:r>
        <w:rPr>
          <w:rFonts w:hint="eastAsia" w:ascii="仿宋" w:hAnsi="仿宋" w:eastAsia="仿宋" w:cs="仿宋"/>
        </w:rPr>
        <w:t>9.2 对供应商的纪律要求</w:t>
      </w:r>
      <w:bookmarkEnd w:id="286"/>
      <w:bookmarkEnd w:id="287"/>
      <w:bookmarkEnd w:id="288"/>
    </w:p>
    <w:p w14:paraId="35BC22C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76E2B070">
      <w:pPr>
        <w:pStyle w:val="4"/>
        <w:spacing w:line="240" w:lineRule="auto"/>
        <w:ind w:firstLine="137"/>
        <w:rPr>
          <w:rFonts w:hint="eastAsia" w:ascii="仿宋" w:hAnsi="仿宋" w:eastAsia="仿宋" w:cs="仿宋"/>
        </w:rPr>
      </w:pPr>
      <w:bookmarkStart w:id="289" w:name="_Toc16185"/>
      <w:bookmarkStart w:id="290" w:name="_Toc196323428"/>
      <w:bookmarkStart w:id="291" w:name="_Toc501460700"/>
      <w:r>
        <w:rPr>
          <w:rFonts w:hint="eastAsia" w:ascii="仿宋" w:hAnsi="仿宋" w:eastAsia="仿宋" w:cs="仿宋"/>
        </w:rPr>
        <w:t>9.3 对评审小组成员的纪律要求</w:t>
      </w:r>
      <w:bookmarkEnd w:id="289"/>
      <w:bookmarkEnd w:id="290"/>
      <w:bookmarkEnd w:id="291"/>
    </w:p>
    <w:p w14:paraId="1FA50B4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评审小组成员不得收受他人的财物或者其他好处，不得向他人透露对响应文件的评审</w:t>
      </w:r>
      <w:bookmarkStart w:id="292" w:name="_Toc384308253"/>
      <w:bookmarkStart w:id="293" w:name="_Toc352691515"/>
      <w:bookmarkStart w:id="294" w:name="_Toc361508628"/>
      <w:bookmarkStart w:id="295" w:name="_Toc369531559"/>
      <w:bookmarkStart w:id="296" w:name="_Toc13644"/>
      <w:r>
        <w:rPr>
          <w:rFonts w:hint="eastAsia" w:ascii="仿宋" w:hAnsi="仿宋" w:eastAsia="仿宋" w:cs="仿宋"/>
          <w:sz w:val="24"/>
          <w:szCs w:val="24"/>
        </w:rPr>
        <w:t>和比较、</w:t>
      </w:r>
      <w:bookmarkEnd w:id="275"/>
      <w:bookmarkEnd w:id="276"/>
      <w:bookmarkEnd w:id="277"/>
      <w:bookmarkEnd w:id="278"/>
      <w:bookmarkEnd w:id="279"/>
      <w:bookmarkEnd w:id="280"/>
      <w:bookmarkEnd w:id="292"/>
      <w:bookmarkEnd w:id="293"/>
      <w:bookmarkEnd w:id="294"/>
      <w:bookmarkEnd w:id="295"/>
      <w:bookmarkEnd w:id="296"/>
      <w:r>
        <w:rPr>
          <w:rFonts w:hint="eastAsia" w:ascii="仿宋" w:hAnsi="仿宋" w:eastAsia="仿宋" w:cs="仿宋"/>
          <w:sz w:val="24"/>
          <w:szCs w:val="24"/>
        </w:rPr>
        <w:t>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514079DD">
      <w:pPr>
        <w:pStyle w:val="4"/>
        <w:spacing w:line="240" w:lineRule="auto"/>
        <w:ind w:firstLine="137"/>
        <w:rPr>
          <w:rFonts w:hint="eastAsia" w:ascii="仿宋" w:hAnsi="仿宋" w:eastAsia="仿宋" w:cs="仿宋"/>
        </w:rPr>
      </w:pPr>
      <w:bookmarkStart w:id="297" w:name="_Toc196323429"/>
      <w:bookmarkStart w:id="298" w:name="_Toc501460701"/>
      <w:bookmarkStart w:id="299" w:name="_Toc9018"/>
      <w:r>
        <w:rPr>
          <w:rFonts w:hint="eastAsia" w:ascii="仿宋" w:hAnsi="仿宋" w:eastAsia="仿宋" w:cs="仿宋"/>
        </w:rPr>
        <w:t>9.4 对与询比活动有关的工作人员的纪律要求</w:t>
      </w:r>
      <w:bookmarkEnd w:id="297"/>
      <w:bookmarkEnd w:id="298"/>
      <w:bookmarkEnd w:id="299"/>
    </w:p>
    <w:p w14:paraId="0271D8B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与询比活动有关的工作人员不得收受他人的财物或者其他好处，不得向他人透露对</w:t>
      </w:r>
      <w:bookmarkStart w:id="300" w:name="_Toc369531560"/>
      <w:bookmarkStart w:id="301" w:name="_Toc247527594"/>
      <w:bookmarkStart w:id="302" w:name="_Toc19429"/>
      <w:bookmarkStart w:id="303" w:name="_Toc144974537"/>
      <w:bookmarkStart w:id="304" w:name="_Toc247513993"/>
      <w:bookmarkStart w:id="305" w:name="_Toc300834992"/>
      <w:bookmarkStart w:id="306" w:name="_Toc352691516"/>
      <w:bookmarkStart w:id="307" w:name="_Toc152042345"/>
      <w:bookmarkStart w:id="308" w:name="_Toc384308254"/>
      <w:bookmarkStart w:id="309" w:name="_Toc361508629"/>
      <w:bookmarkStart w:id="310" w:name="_Toc152045569"/>
      <w:r>
        <w:rPr>
          <w:rFonts w:hint="eastAsia" w:ascii="仿宋" w:hAnsi="仿宋" w:eastAsia="仿宋" w:cs="仿宋"/>
          <w:sz w:val="24"/>
          <w:szCs w:val="24"/>
        </w:rPr>
        <w:t>响应文件的评审和比较、</w:t>
      </w:r>
      <w:bookmarkEnd w:id="300"/>
      <w:bookmarkEnd w:id="301"/>
      <w:bookmarkEnd w:id="302"/>
      <w:bookmarkEnd w:id="303"/>
      <w:bookmarkEnd w:id="304"/>
      <w:bookmarkEnd w:id="305"/>
      <w:bookmarkEnd w:id="306"/>
      <w:bookmarkEnd w:id="307"/>
      <w:bookmarkEnd w:id="308"/>
      <w:bookmarkEnd w:id="309"/>
      <w:bookmarkEnd w:id="310"/>
      <w:r>
        <w:rPr>
          <w:rFonts w:hint="eastAsia" w:ascii="仿宋" w:hAnsi="仿宋" w:eastAsia="仿宋" w:cs="仿宋"/>
          <w:sz w:val="24"/>
          <w:szCs w:val="24"/>
        </w:rPr>
        <w:t>候选成交供应商的推荐情况以及询比有关的其他情况。在询比活动中，与询比活动有关的工作人员不得擅离职守，影响评审工作正常进行。</w:t>
      </w:r>
    </w:p>
    <w:p w14:paraId="7BDC1805">
      <w:pPr>
        <w:pStyle w:val="3"/>
        <w:spacing w:line="240" w:lineRule="auto"/>
        <w:rPr>
          <w:rFonts w:hint="eastAsia" w:ascii="仿宋" w:hAnsi="仿宋" w:eastAsia="仿宋" w:cs="仿宋"/>
        </w:rPr>
      </w:pPr>
      <w:bookmarkStart w:id="311" w:name="_Toc501460704"/>
      <w:bookmarkStart w:id="312" w:name="_Toc6149"/>
      <w:bookmarkStart w:id="313" w:name="_Toc196323430"/>
      <w:r>
        <w:rPr>
          <w:rFonts w:hint="eastAsia" w:ascii="仿宋" w:hAnsi="仿宋" w:eastAsia="仿宋" w:cs="仿宋"/>
        </w:rPr>
        <w:t xml:space="preserve">10. </w:t>
      </w:r>
      <w:bookmarkEnd w:id="311"/>
      <w:r>
        <w:rPr>
          <w:rFonts w:hint="eastAsia" w:ascii="仿宋" w:hAnsi="仿宋" w:eastAsia="仿宋" w:cs="仿宋"/>
        </w:rPr>
        <w:t>需要补充的其他内容</w:t>
      </w:r>
      <w:bookmarkEnd w:id="312"/>
      <w:bookmarkEnd w:id="313"/>
    </w:p>
    <w:p w14:paraId="32FB870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需要补充的其他内容：见</w:t>
      </w:r>
      <w:r>
        <w:rPr>
          <w:rFonts w:hint="eastAsia" w:ascii="仿宋" w:hAnsi="仿宋" w:eastAsia="仿宋" w:cs="仿宋"/>
          <w:iCs/>
          <w:sz w:val="24"/>
          <w:szCs w:val="24"/>
        </w:rPr>
        <w:t>供应商须知前附表</w:t>
      </w:r>
      <w:r>
        <w:rPr>
          <w:rFonts w:hint="eastAsia" w:ascii="仿宋" w:hAnsi="仿宋" w:eastAsia="仿宋" w:cs="仿宋"/>
          <w:sz w:val="24"/>
          <w:szCs w:val="24"/>
        </w:rPr>
        <w:t>。</w:t>
      </w:r>
    </w:p>
    <w:p w14:paraId="31ABFD88">
      <w:pPr>
        <w:widowControl/>
        <w:jc w:val="left"/>
        <w:rPr>
          <w:rFonts w:hint="eastAsia" w:ascii="仿宋" w:hAnsi="仿宋" w:eastAsia="仿宋" w:cs="仿宋"/>
          <w:sz w:val="28"/>
          <w:szCs w:val="20"/>
        </w:rPr>
      </w:pPr>
      <w:bookmarkStart w:id="314" w:name="_Toc501460705"/>
      <w:r>
        <w:rPr>
          <w:rFonts w:hint="eastAsia" w:ascii="仿宋" w:hAnsi="仿宋" w:eastAsia="仿宋" w:cs="仿宋"/>
        </w:rPr>
        <w:br w:type="page"/>
      </w:r>
    </w:p>
    <w:p w14:paraId="0ECB497C">
      <w:pPr>
        <w:rPr>
          <w:rFonts w:ascii="Times New Roman" w:hAnsi="Times New Roman"/>
        </w:rPr>
      </w:pPr>
    </w:p>
    <w:bookmarkEnd w:id="314"/>
    <w:p w14:paraId="7EE841DE">
      <w:pPr>
        <w:pStyle w:val="2"/>
        <w:spacing w:before="0" w:after="0" w:line="360" w:lineRule="auto"/>
        <w:jc w:val="center"/>
        <w:rPr>
          <w:rFonts w:hint="eastAsia" w:ascii="仿宋" w:hAnsi="仿宋" w:eastAsia="仿宋" w:cs="仿宋"/>
        </w:rPr>
      </w:pPr>
      <w:bookmarkStart w:id="315" w:name="_Toc23370"/>
      <w:bookmarkStart w:id="316" w:name="_Toc501460733"/>
      <w:r>
        <w:rPr>
          <w:rFonts w:hint="eastAsia" w:ascii="仿宋" w:hAnsi="仿宋" w:eastAsia="仿宋" w:cs="仿宋"/>
        </w:rPr>
        <w:t>第三章  评审办法（综合评分法）</w:t>
      </w:r>
      <w:bookmarkEnd w:id="315"/>
    </w:p>
    <w:p w14:paraId="5386A755">
      <w:pPr>
        <w:pStyle w:val="3"/>
        <w:spacing w:line="240" w:lineRule="auto"/>
        <w:jc w:val="center"/>
        <w:rPr>
          <w:rFonts w:hint="eastAsia" w:ascii="仿宋" w:hAnsi="仿宋" w:eastAsia="仿宋" w:cs="仿宋"/>
        </w:rPr>
      </w:pPr>
      <w:bookmarkStart w:id="317" w:name="_Toc1563"/>
      <w:r>
        <w:rPr>
          <w:rFonts w:hint="eastAsia" w:ascii="仿宋" w:hAnsi="仿宋" w:eastAsia="仿宋" w:cs="仿宋"/>
        </w:rPr>
        <w:t>评审办法前附表</w:t>
      </w:r>
      <w:bookmarkEnd w:id="317"/>
    </w:p>
    <w:tbl>
      <w:tblPr>
        <w:tblStyle w:val="33"/>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6"/>
        <w:gridCol w:w="1234"/>
        <w:gridCol w:w="2639"/>
        <w:gridCol w:w="5165"/>
      </w:tblGrid>
      <w:tr w14:paraId="174E6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0" w:type="pct"/>
            <w:gridSpan w:val="2"/>
            <w:tcBorders>
              <w:top w:val="single" w:color="auto" w:sz="4" w:space="0"/>
              <w:bottom w:val="single" w:color="auto" w:sz="4" w:space="0"/>
              <w:right w:val="single" w:color="auto" w:sz="4" w:space="0"/>
            </w:tcBorders>
            <w:vAlign w:val="center"/>
          </w:tcPr>
          <w:p w14:paraId="018BE68C">
            <w:pPr>
              <w:adjustRightInd w:val="0"/>
              <w:snapToGrid w:val="0"/>
              <w:jc w:val="center"/>
              <w:rPr>
                <w:rFonts w:hint="eastAsia" w:ascii="仿宋" w:hAnsi="仿宋" w:eastAsia="仿宋" w:cs="仿宋"/>
                <w:b/>
                <w:sz w:val="24"/>
                <w:szCs w:val="24"/>
              </w:rPr>
            </w:pPr>
            <w:r>
              <w:rPr>
                <w:rFonts w:hint="eastAsia" w:ascii="仿宋" w:hAnsi="仿宋" w:eastAsia="仿宋" w:cs="仿宋"/>
                <w:sz w:val="24"/>
                <w:szCs w:val="24"/>
              </w:rPr>
              <w:br w:type="page"/>
            </w:r>
            <w:r>
              <w:rPr>
                <w:rFonts w:hint="eastAsia" w:ascii="仿宋" w:hAnsi="仿宋" w:eastAsia="仿宋" w:cs="仿宋"/>
                <w:b/>
                <w:sz w:val="24"/>
                <w:szCs w:val="24"/>
              </w:rPr>
              <w:t>条款号及名称</w:t>
            </w:r>
          </w:p>
        </w:tc>
        <w:tc>
          <w:tcPr>
            <w:tcW w:w="1339" w:type="pct"/>
            <w:tcBorders>
              <w:top w:val="single" w:color="auto" w:sz="4" w:space="0"/>
              <w:left w:val="single" w:color="auto" w:sz="4" w:space="0"/>
              <w:bottom w:val="single" w:color="auto" w:sz="4" w:space="0"/>
              <w:right w:val="single" w:color="auto" w:sz="4" w:space="0"/>
            </w:tcBorders>
            <w:vAlign w:val="center"/>
          </w:tcPr>
          <w:p w14:paraId="542FF90A">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评审因素</w:t>
            </w:r>
          </w:p>
        </w:tc>
        <w:tc>
          <w:tcPr>
            <w:tcW w:w="2621" w:type="pct"/>
            <w:tcBorders>
              <w:top w:val="single" w:color="auto" w:sz="4" w:space="0"/>
              <w:left w:val="single" w:color="auto" w:sz="4" w:space="0"/>
              <w:bottom w:val="single" w:color="auto" w:sz="4" w:space="0"/>
              <w:right w:val="single" w:color="auto" w:sz="4" w:space="0"/>
            </w:tcBorders>
            <w:vAlign w:val="center"/>
          </w:tcPr>
          <w:p w14:paraId="21E780D1">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评审标准</w:t>
            </w:r>
          </w:p>
        </w:tc>
      </w:tr>
      <w:tr w14:paraId="03AC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tcBorders>
              <w:top w:val="single" w:color="auto" w:sz="4" w:space="0"/>
              <w:left w:val="single" w:color="auto" w:sz="4" w:space="0"/>
              <w:bottom w:val="single" w:color="auto" w:sz="4" w:space="0"/>
              <w:right w:val="single" w:color="auto" w:sz="4" w:space="0"/>
            </w:tcBorders>
            <w:vAlign w:val="center"/>
          </w:tcPr>
          <w:p w14:paraId="68E5AB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626" w:type="pct"/>
            <w:tcBorders>
              <w:top w:val="single" w:color="auto" w:sz="4" w:space="0"/>
              <w:left w:val="single" w:color="auto" w:sz="4" w:space="0"/>
              <w:bottom w:val="single" w:color="auto" w:sz="4" w:space="0"/>
              <w:right w:val="single" w:color="auto" w:sz="4" w:space="0"/>
            </w:tcBorders>
            <w:vAlign w:val="center"/>
          </w:tcPr>
          <w:p w14:paraId="794E0C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评审方法</w:t>
            </w:r>
          </w:p>
        </w:tc>
        <w:tc>
          <w:tcPr>
            <w:tcW w:w="1339" w:type="pct"/>
            <w:tcBorders>
              <w:top w:val="single" w:color="auto" w:sz="4" w:space="0"/>
              <w:left w:val="single" w:color="auto" w:sz="4" w:space="0"/>
              <w:bottom w:val="single" w:color="auto" w:sz="4" w:space="0"/>
              <w:right w:val="single" w:color="auto" w:sz="4" w:space="0"/>
            </w:tcBorders>
            <w:vAlign w:val="center"/>
          </w:tcPr>
          <w:p w14:paraId="6D59CF7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评审方法</w:t>
            </w:r>
          </w:p>
        </w:tc>
        <w:tc>
          <w:tcPr>
            <w:tcW w:w="2621" w:type="pct"/>
            <w:tcBorders>
              <w:top w:val="single" w:color="auto" w:sz="4" w:space="0"/>
              <w:left w:val="single" w:color="auto" w:sz="4" w:space="0"/>
              <w:bottom w:val="single" w:color="auto" w:sz="4" w:space="0"/>
              <w:right w:val="single" w:color="auto" w:sz="4" w:space="0"/>
            </w:tcBorders>
            <w:vAlign w:val="center"/>
          </w:tcPr>
          <w:p w14:paraId="16C83E1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综合评分法</w:t>
            </w:r>
          </w:p>
        </w:tc>
      </w:tr>
      <w:tr w14:paraId="7A75B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restart"/>
            <w:tcBorders>
              <w:top w:val="single" w:color="auto" w:sz="4" w:space="0"/>
              <w:right w:val="single" w:color="auto" w:sz="4" w:space="0"/>
            </w:tcBorders>
            <w:vAlign w:val="center"/>
          </w:tcPr>
          <w:p w14:paraId="1464FDE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2.1.1</w:t>
            </w:r>
          </w:p>
        </w:tc>
        <w:tc>
          <w:tcPr>
            <w:tcW w:w="626" w:type="pct"/>
            <w:vMerge w:val="restart"/>
            <w:tcBorders>
              <w:top w:val="single" w:color="auto" w:sz="4" w:space="0"/>
              <w:right w:val="single" w:color="auto" w:sz="4" w:space="0"/>
            </w:tcBorders>
            <w:vAlign w:val="center"/>
          </w:tcPr>
          <w:p w14:paraId="276FEC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形式评审标准</w:t>
            </w:r>
          </w:p>
        </w:tc>
        <w:tc>
          <w:tcPr>
            <w:tcW w:w="1339" w:type="pct"/>
            <w:tcBorders>
              <w:top w:val="single" w:color="auto" w:sz="4" w:space="0"/>
              <w:left w:val="single" w:color="auto" w:sz="4" w:space="0"/>
              <w:bottom w:val="single" w:color="auto" w:sz="4" w:space="0"/>
              <w:right w:val="single" w:color="auto" w:sz="4" w:space="0"/>
            </w:tcBorders>
            <w:vAlign w:val="center"/>
          </w:tcPr>
          <w:p w14:paraId="260AAF6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供应商名称</w:t>
            </w:r>
          </w:p>
        </w:tc>
        <w:tc>
          <w:tcPr>
            <w:tcW w:w="2621" w:type="pct"/>
            <w:tcBorders>
              <w:top w:val="single" w:color="auto" w:sz="4" w:space="0"/>
              <w:left w:val="single" w:color="auto" w:sz="4" w:space="0"/>
              <w:bottom w:val="single" w:color="auto" w:sz="4" w:space="0"/>
              <w:right w:val="single" w:color="auto" w:sz="4" w:space="0"/>
            </w:tcBorders>
            <w:vAlign w:val="center"/>
          </w:tcPr>
          <w:p w14:paraId="62886966">
            <w:pPr>
              <w:adjustRightInd w:val="0"/>
              <w:snapToGrid w:val="0"/>
              <w:rPr>
                <w:rFonts w:hint="eastAsia" w:ascii="仿宋" w:hAnsi="仿宋" w:eastAsia="仿宋" w:cs="仿宋"/>
                <w:sz w:val="24"/>
                <w:szCs w:val="24"/>
              </w:rPr>
            </w:pPr>
            <w:r>
              <w:rPr>
                <w:rFonts w:hint="eastAsia" w:ascii="仿宋" w:hAnsi="仿宋" w:eastAsia="仿宋" w:cs="仿宋"/>
                <w:sz w:val="24"/>
                <w:szCs w:val="24"/>
              </w:rPr>
              <w:t>与营业执照（事业单位法人证书）、资质证书一致</w:t>
            </w:r>
          </w:p>
        </w:tc>
      </w:tr>
      <w:tr w14:paraId="1525B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right w:val="single" w:color="auto" w:sz="4" w:space="0"/>
            </w:tcBorders>
            <w:vAlign w:val="center"/>
          </w:tcPr>
          <w:p w14:paraId="00725EF0">
            <w:pPr>
              <w:adjustRightInd w:val="0"/>
              <w:snapToGrid w:val="0"/>
              <w:rPr>
                <w:rFonts w:hint="eastAsia" w:ascii="仿宋" w:hAnsi="仿宋" w:eastAsia="仿宋" w:cs="仿宋"/>
                <w:sz w:val="24"/>
                <w:szCs w:val="24"/>
              </w:rPr>
            </w:pPr>
          </w:p>
        </w:tc>
        <w:tc>
          <w:tcPr>
            <w:tcW w:w="626" w:type="pct"/>
            <w:vMerge w:val="continue"/>
            <w:tcBorders>
              <w:right w:val="single" w:color="auto" w:sz="4" w:space="0"/>
            </w:tcBorders>
            <w:vAlign w:val="center"/>
          </w:tcPr>
          <w:p w14:paraId="5DDB9CBA">
            <w:pPr>
              <w:adjustRightInd w:val="0"/>
              <w:snapToGrid w:val="0"/>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136E91A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响应文件签字盖章</w:t>
            </w:r>
          </w:p>
        </w:tc>
        <w:tc>
          <w:tcPr>
            <w:tcW w:w="2621" w:type="pct"/>
            <w:tcBorders>
              <w:top w:val="single" w:color="auto" w:sz="4" w:space="0"/>
              <w:left w:val="single" w:color="auto" w:sz="4" w:space="0"/>
              <w:bottom w:val="single" w:color="auto" w:sz="4" w:space="0"/>
              <w:right w:val="single" w:color="auto" w:sz="4" w:space="0"/>
            </w:tcBorders>
            <w:vAlign w:val="center"/>
          </w:tcPr>
          <w:p w14:paraId="5ECD06C5">
            <w:pPr>
              <w:adjustRightInd w:val="0"/>
              <w:snapToGrid w:val="0"/>
              <w:rPr>
                <w:rFonts w:hint="eastAsia" w:ascii="仿宋" w:hAnsi="仿宋" w:eastAsia="仿宋" w:cs="仿宋"/>
                <w:sz w:val="24"/>
                <w:szCs w:val="24"/>
              </w:rPr>
            </w:pPr>
            <w:r>
              <w:rPr>
                <w:rFonts w:hint="eastAsia" w:ascii="仿宋" w:hAnsi="仿宋" w:eastAsia="仿宋" w:cs="仿宋"/>
                <w:sz w:val="24"/>
                <w:szCs w:val="24"/>
              </w:rPr>
              <w:t>有法定代表人（单位负责人）或其委托代理人签字或加盖单位章。由法定代表人（单位负责人）签字的，应附法定代表人（单位负责人）身份证明，由代理人签字的，应附授权委托书，身份证明或授权委托书应符合第六章“响应文件格式”的规定</w:t>
            </w:r>
          </w:p>
        </w:tc>
      </w:tr>
      <w:tr w14:paraId="44B9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right w:val="single" w:color="auto" w:sz="4" w:space="0"/>
            </w:tcBorders>
            <w:vAlign w:val="center"/>
          </w:tcPr>
          <w:p w14:paraId="335B39A4">
            <w:pPr>
              <w:adjustRightInd w:val="0"/>
              <w:snapToGrid w:val="0"/>
              <w:rPr>
                <w:rFonts w:hint="eastAsia" w:ascii="仿宋" w:hAnsi="仿宋" w:eastAsia="仿宋" w:cs="仿宋"/>
                <w:sz w:val="24"/>
                <w:szCs w:val="24"/>
              </w:rPr>
            </w:pPr>
          </w:p>
        </w:tc>
        <w:tc>
          <w:tcPr>
            <w:tcW w:w="626" w:type="pct"/>
            <w:vMerge w:val="continue"/>
            <w:tcBorders>
              <w:right w:val="single" w:color="auto" w:sz="4" w:space="0"/>
            </w:tcBorders>
            <w:vAlign w:val="center"/>
          </w:tcPr>
          <w:p w14:paraId="5800836C">
            <w:pPr>
              <w:adjustRightInd w:val="0"/>
              <w:snapToGrid w:val="0"/>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10BA53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响应文件文件格式</w:t>
            </w:r>
          </w:p>
        </w:tc>
        <w:tc>
          <w:tcPr>
            <w:tcW w:w="2621" w:type="pct"/>
            <w:tcBorders>
              <w:top w:val="single" w:color="auto" w:sz="4" w:space="0"/>
              <w:left w:val="single" w:color="auto" w:sz="4" w:space="0"/>
              <w:bottom w:val="single" w:color="auto" w:sz="4" w:space="0"/>
              <w:right w:val="single" w:color="auto" w:sz="4" w:space="0"/>
            </w:tcBorders>
            <w:vAlign w:val="center"/>
          </w:tcPr>
          <w:p w14:paraId="6953C169">
            <w:pPr>
              <w:spacing w:line="440" w:lineRule="exact"/>
              <w:rPr>
                <w:rFonts w:hint="eastAsia" w:ascii="仿宋" w:hAnsi="仿宋" w:eastAsia="仿宋" w:cs="仿宋"/>
                <w:sz w:val="24"/>
                <w:szCs w:val="24"/>
              </w:rPr>
            </w:pPr>
            <w:r>
              <w:rPr>
                <w:rFonts w:hint="eastAsia" w:ascii="仿宋" w:hAnsi="仿宋" w:eastAsia="仿宋" w:cs="仿宋"/>
                <w:sz w:val="24"/>
                <w:szCs w:val="24"/>
              </w:rPr>
              <w:t>符合第六章“响应文件格式”的规定</w:t>
            </w:r>
          </w:p>
        </w:tc>
      </w:tr>
      <w:tr w14:paraId="5CA26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restart"/>
            <w:tcBorders>
              <w:top w:val="single" w:color="auto" w:sz="4" w:space="0"/>
              <w:right w:val="single" w:color="auto" w:sz="4" w:space="0"/>
            </w:tcBorders>
            <w:vAlign w:val="center"/>
          </w:tcPr>
          <w:p w14:paraId="74D924D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2.1.2</w:t>
            </w:r>
          </w:p>
        </w:tc>
        <w:tc>
          <w:tcPr>
            <w:tcW w:w="626" w:type="pct"/>
            <w:vMerge w:val="restart"/>
            <w:tcBorders>
              <w:top w:val="single" w:color="auto" w:sz="4" w:space="0"/>
              <w:left w:val="single" w:color="auto" w:sz="4" w:space="0"/>
              <w:right w:val="single" w:color="auto" w:sz="4" w:space="0"/>
            </w:tcBorders>
            <w:vAlign w:val="center"/>
          </w:tcPr>
          <w:p w14:paraId="52A0690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资格评审标准</w:t>
            </w:r>
          </w:p>
        </w:tc>
        <w:tc>
          <w:tcPr>
            <w:tcW w:w="1339" w:type="pct"/>
            <w:tcBorders>
              <w:top w:val="single" w:color="auto" w:sz="4" w:space="0"/>
              <w:left w:val="single" w:color="auto" w:sz="4" w:space="0"/>
              <w:bottom w:val="single" w:color="auto" w:sz="4" w:space="0"/>
              <w:right w:val="single" w:color="auto" w:sz="4" w:space="0"/>
            </w:tcBorders>
            <w:vAlign w:val="center"/>
          </w:tcPr>
          <w:p w14:paraId="071FD22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营业执照（事业单位法人证书）和组织机构代码证</w:t>
            </w:r>
          </w:p>
        </w:tc>
        <w:tc>
          <w:tcPr>
            <w:tcW w:w="2621" w:type="pct"/>
            <w:tcBorders>
              <w:top w:val="single" w:color="auto" w:sz="4" w:space="0"/>
              <w:left w:val="single" w:color="auto" w:sz="4" w:space="0"/>
              <w:bottom w:val="single" w:color="auto" w:sz="4" w:space="0"/>
              <w:right w:val="single" w:color="auto" w:sz="4" w:space="0"/>
            </w:tcBorders>
            <w:vAlign w:val="center"/>
          </w:tcPr>
          <w:p w14:paraId="013BD946">
            <w:pPr>
              <w:spacing w:line="440" w:lineRule="exact"/>
              <w:rPr>
                <w:rFonts w:hint="eastAsia" w:ascii="仿宋" w:hAnsi="仿宋" w:eastAsia="仿宋" w:cs="仿宋"/>
                <w:sz w:val="24"/>
                <w:szCs w:val="24"/>
              </w:rPr>
            </w:pPr>
            <w:r>
              <w:rPr>
                <w:rFonts w:hint="eastAsia" w:ascii="仿宋" w:hAnsi="仿宋" w:eastAsia="仿宋" w:cs="仿宋"/>
                <w:sz w:val="24"/>
                <w:szCs w:val="24"/>
              </w:rPr>
              <w:t>具备有效的营业执照（事业单位法人证书）和组织机构代码证</w:t>
            </w:r>
          </w:p>
        </w:tc>
      </w:tr>
      <w:tr w14:paraId="56633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bottom w:val="single" w:color="auto" w:sz="4" w:space="0"/>
              <w:right w:val="single" w:color="auto" w:sz="4" w:space="0"/>
            </w:tcBorders>
            <w:vAlign w:val="center"/>
          </w:tcPr>
          <w:p w14:paraId="16709369">
            <w:pPr>
              <w:adjustRightInd w:val="0"/>
              <w:snapToGrid w:val="0"/>
              <w:rPr>
                <w:rFonts w:hint="eastAsia" w:ascii="仿宋" w:hAnsi="仿宋" w:eastAsia="仿宋" w:cs="仿宋"/>
                <w:sz w:val="24"/>
                <w:szCs w:val="24"/>
              </w:rPr>
            </w:pPr>
          </w:p>
        </w:tc>
        <w:tc>
          <w:tcPr>
            <w:tcW w:w="626" w:type="pct"/>
            <w:vMerge w:val="continue"/>
            <w:tcBorders>
              <w:left w:val="single" w:color="auto" w:sz="4" w:space="0"/>
              <w:bottom w:val="single" w:color="auto" w:sz="4" w:space="0"/>
              <w:right w:val="single" w:color="auto" w:sz="4" w:space="0"/>
            </w:tcBorders>
            <w:vAlign w:val="center"/>
          </w:tcPr>
          <w:p w14:paraId="569F3F29">
            <w:pPr>
              <w:adjustRightInd w:val="0"/>
              <w:snapToGrid w:val="0"/>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470D15E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资质要求</w:t>
            </w:r>
          </w:p>
        </w:tc>
        <w:tc>
          <w:tcPr>
            <w:tcW w:w="2621" w:type="pct"/>
            <w:tcBorders>
              <w:top w:val="single" w:color="auto" w:sz="4" w:space="0"/>
              <w:left w:val="single" w:color="auto" w:sz="4" w:space="0"/>
              <w:bottom w:val="single" w:color="auto" w:sz="4" w:space="0"/>
              <w:right w:val="single" w:color="auto" w:sz="4" w:space="0"/>
            </w:tcBorders>
            <w:vAlign w:val="center"/>
          </w:tcPr>
          <w:p w14:paraId="3295865A">
            <w:pPr>
              <w:spacing w:line="440" w:lineRule="exact"/>
              <w:rPr>
                <w:rFonts w:hint="eastAsia" w:ascii="仿宋" w:hAnsi="仿宋" w:eastAsia="仿宋" w:cs="仿宋"/>
                <w:sz w:val="24"/>
                <w:szCs w:val="24"/>
              </w:rPr>
            </w:pPr>
            <w:r>
              <w:rPr>
                <w:rFonts w:hint="eastAsia" w:ascii="仿宋" w:hAnsi="仿宋" w:eastAsia="仿宋" w:cs="仿宋"/>
                <w:sz w:val="24"/>
                <w:szCs w:val="24"/>
              </w:rPr>
              <w:t>符合第一章“询比采购公告”规定</w:t>
            </w:r>
          </w:p>
        </w:tc>
      </w:tr>
      <w:tr w14:paraId="1A29D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top w:val="single" w:color="auto" w:sz="4" w:space="0"/>
              <w:bottom w:val="single" w:color="auto" w:sz="4" w:space="0"/>
              <w:right w:val="single" w:color="auto" w:sz="4" w:space="0"/>
            </w:tcBorders>
            <w:vAlign w:val="center"/>
          </w:tcPr>
          <w:p w14:paraId="019D572D">
            <w:pPr>
              <w:adjustRightInd w:val="0"/>
              <w:snapToGrid w:val="0"/>
              <w:rPr>
                <w:rFonts w:hint="eastAsia" w:ascii="仿宋" w:hAnsi="仿宋" w:eastAsia="仿宋" w:cs="仿宋"/>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64BD7F12">
            <w:pPr>
              <w:adjustRightInd w:val="0"/>
              <w:snapToGrid w:val="0"/>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5E282A8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业绩要求</w:t>
            </w:r>
          </w:p>
        </w:tc>
        <w:tc>
          <w:tcPr>
            <w:tcW w:w="2621" w:type="pct"/>
            <w:tcBorders>
              <w:top w:val="single" w:color="auto" w:sz="4" w:space="0"/>
              <w:left w:val="single" w:color="auto" w:sz="4" w:space="0"/>
              <w:bottom w:val="single" w:color="auto" w:sz="4" w:space="0"/>
              <w:right w:val="single" w:color="auto" w:sz="4" w:space="0"/>
            </w:tcBorders>
          </w:tcPr>
          <w:p w14:paraId="5E35BE51">
            <w:pPr>
              <w:rPr>
                <w:rFonts w:hint="eastAsia" w:ascii="仿宋" w:hAnsi="仿宋" w:eastAsia="仿宋" w:cs="仿宋"/>
                <w:sz w:val="24"/>
                <w:szCs w:val="24"/>
              </w:rPr>
            </w:pPr>
            <w:r>
              <w:rPr>
                <w:rFonts w:hint="eastAsia" w:ascii="仿宋" w:hAnsi="仿宋" w:eastAsia="仿宋" w:cs="仿宋"/>
                <w:sz w:val="24"/>
                <w:szCs w:val="24"/>
              </w:rPr>
              <w:t>符合第一章“询比采购公告”规定</w:t>
            </w:r>
          </w:p>
        </w:tc>
      </w:tr>
      <w:tr w14:paraId="2F1B1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top w:val="single" w:color="auto" w:sz="4" w:space="0"/>
              <w:bottom w:val="single" w:color="auto" w:sz="4" w:space="0"/>
              <w:right w:val="single" w:color="auto" w:sz="4" w:space="0"/>
            </w:tcBorders>
            <w:vAlign w:val="center"/>
          </w:tcPr>
          <w:p w14:paraId="7114A411">
            <w:pPr>
              <w:adjustRightInd w:val="0"/>
              <w:snapToGrid w:val="0"/>
              <w:rPr>
                <w:rFonts w:hint="eastAsia" w:ascii="仿宋" w:hAnsi="仿宋" w:eastAsia="仿宋" w:cs="仿宋"/>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56AECA82">
            <w:pPr>
              <w:adjustRightInd w:val="0"/>
              <w:snapToGrid w:val="0"/>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37C5187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2621" w:type="pct"/>
            <w:tcBorders>
              <w:top w:val="single" w:color="auto" w:sz="4" w:space="0"/>
              <w:left w:val="single" w:color="auto" w:sz="4" w:space="0"/>
              <w:bottom w:val="single" w:color="auto" w:sz="4" w:space="0"/>
              <w:right w:val="single" w:color="auto" w:sz="4" w:space="0"/>
            </w:tcBorders>
          </w:tcPr>
          <w:p w14:paraId="6545CC67">
            <w:pPr>
              <w:rPr>
                <w:rFonts w:hint="eastAsia" w:ascii="仿宋" w:hAnsi="仿宋" w:eastAsia="仿宋" w:cs="仿宋"/>
                <w:sz w:val="24"/>
                <w:szCs w:val="24"/>
              </w:rPr>
            </w:pPr>
            <w:r>
              <w:rPr>
                <w:rFonts w:hint="eastAsia" w:ascii="仿宋" w:hAnsi="仿宋" w:eastAsia="仿宋" w:cs="仿宋"/>
                <w:sz w:val="24"/>
                <w:szCs w:val="24"/>
              </w:rPr>
              <w:t>符合第一章“询比采购公告”项规定</w:t>
            </w:r>
          </w:p>
        </w:tc>
      </w:tr>
      <w:tr w14:paraId="3F984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top w:val="single" w:color="auto" w:sz="4" w:space="0"/>
              <w:bottom w:val="single" w:color="auto" w:sz="4" w:space="0"/>
              <w:right w:val="single" w:color="auto" w:sz="4" w:space="0"/>
            </w:tcBorders>
            <w:vAlign w:val="center"/>
          </w:tcPr>
          <w:p w14:paraId="2A276252">
            <w:pPr>
              <w:adjustRightInd w:val="0"/>
              <w:snapToGrid w:val="0"/>
              <w:rPr>
                <w:rFonts w:hint="eastAsia" w:ascii="仿宋" w:hAnsi="仿宋" w:eastAsia="仿宋" w:cs="仿宋"/>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44E52DE0">
            <w:pPr>
              <w:adjustRightInd w:val="0"/>
              <w:snapToGrid w:val="0"/>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60B7534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联合体供应商</w:t>
            </w:r>
          </w:p>
        </w:tc>
        <w:tc>
          <w:tcPr>
            <w:tcW w:w="2621" w:type="pct"/>
            <w:tcBorders>
              <w:top w:val="single" w:color="auto" w:sz="4" w:space="0"/>
              <w:left w:val="single" w:color="auto" w:sz="4" w:space="0"/>
              <w:bottom w:val="single" w:color="auto" w:sz="4" w:space="0"/>
              <w:right w:val="single" w:color="auto" w:sz="4" w:space="0"/>
            </w:tcBorders>
            <w:vAlign w:val="center"/>
          </w:tcPr>
          <w:p w14:paraId="264E22A6">
            <w:pPr>
              <w:spacing w:line="440" w:lineRule="exact"/>
              <w:rPr>
                <w:rFonts w:hint="eastAsia" w:ascii="仿宋" w:hAnsi="仿宋" w:eastAsia="仿宋" w:cs="仿宋"/>
                <w:sz w:val="24"/>
                <w:szCs w:val="24"/>
              </w:rPr>
            </w:pPr>
            <w:r>
              <w:rPr>
                <w:rFonts w:hint="eastAsia" w:ascii="仿宋" w:hAnsi="仿宋" w:eastAsia="仿宋" w:cs="仿宋"/>
                <w:sz w:val="24"/>
                <w:szCs w:val="24"/>
              </w:rPr>
              <w:t>符合第一章“询比采购公告”规定</w:t>
            </w:r>
          </w:p>
        </w:tc>
      </w:tr>
      <w:tr w14:paraId="002F7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top w:val="single" w:color="auto" w:sz="4" w:space="0"/>
              <w:bottom w:val="single" w:color="auto" w:sz="4" w:space="0"/>
              <w:right w:val="single" w:color="auto" w:sz="4" w:space="0"/>
            </w:tcBorders>
            <w:vAlign w:val="center"/>
          </w:tcPr>
          <w:p w14:paraId="4F245559">
            <w:pPr>
              <w:adjustRightInd w:val="0"/>
              <w:snapToGrid w:val="0"/>
              <w:rPr>
                <w:rFonts w:hint="eastAsia" w:ascii="仿宋" w:hAnsi="仿宋" w:eastAsia="仿宋" w:cs="仿宋"/>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7E5F0432">
            <w:pPr>
              <w:adjustRightInd w:val="0"/>
              <w:snapToGrid w:val="0"/>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37586D0D">
            <w:pPr>
              <w:spacing w:line="440" w:lineRule="exact"/>
              <w:rPr>
                <w:rFonts w:hint="eastAsia" w:ascii="仿宋" w:hAnsi="仿宋" w:eastAsia="仿宋" w:cs="仿宋"/>
                <w:sz w:val="24"/>
                <w:szCs w:val="24"/>
              </w:rPr>
            </w:pPr>
            <w:r>
              <w:rPr>
                <w:rFonts w:hint="eastAsia" w:ascii="仿宋" w:hAnsi="仿宋" w:eastAsia="仿宋" w:cs="仿宋"/>
                <w:sz w:val="24"/>
                <w:szCs w:val="24"/>
              </w:rPr>
              <w:t>供应商不得存在第二章供应商须知第1.2.2项、第1.2.3项规定的情形</w:t>
            </w:r>
          </w:p>
        </w:tc>
        <w:tc>
          <w:tcPr>
            <w:tcW w:w="2621" w:type="pct"/>
            <w:tcBorders>
              <w:top w:val="single" w:color="auto" w:sz="4" w:space="0"/>
              <w:left w:val="single" w:color="auto" w:sz="4" w:space="0"/>
              <w:bottom w:val="single" w:color="auto" w:sz="4" w:space="0"/>
              <w:right w:val="single" w:color="auto" w:sz="4" w:space="0"/>
            </w:tcBorders>
            <w:vAlign w:val="center"/>
          </w:tcPr>
          <w:p w14:paraId="64208FA5">
            <w:pPr>
              <w:spacing w:line="440" w:lineRule="exact"/>
              <w:rPr>
                <w:rFonts w:hint="eastAsia" w:ascii="仿宋" w:hAnsi="仿宋" w:eastAsia="仿宋" w:cs="仿宋"/>
                <w:sz w:val="24"/>
                <w:szCs w:val="24"/>
              </w:rPr>
            </w:pPr>
            <w:r>
              <w:rPr>
                <w:rFonts w:hint="eastAsia" w:ascii="仿宋" w:hAnsi="仿宋" w:eastAsia="仿宋" w:cs="仿宋"/>
                <w:sz w:val="24"/>
                <w:szCs w:val="24"/>
              </w:rPr>
              <w:t>供应商不得存在第二章供应商须知第1.2.2项、第1.2.3项规定的情形。供应商应按照第六章“响应文件格式”的“诚信响应承诺书”承诺。</w:t>
            </w:r>
          </w:p>
        </w:tc>
      </w:tr>
      <w:tr w14:paraId="1E56B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restart"/>
            <w:tcBorders>
              <w:top w:val="single" w:color="auto" w:sz="4" w:space="0"/>
              <w:right w:val="single" w:color="auto" w:sz="4" w:space="0"/>
            </w:tcBorders>
            <w:vAlign w:val="center"/>
          </w:tcPr>
          <w:p w14:paraId="73C58D4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2.1.3</w:t>
            </w:r>
          </w:p>
        </w:tc>
        <w:tc>
          <w:tcPr>
            <w:tcW w:w="626" w:type="pct"/>
            <w:vMerge w:val="restart"/>
            <w:tcBorders>
              <w:top w:val="single" w:color="auto" w:sz="4" w:space="0"/>
              <w:left w:val="single" w:color="auto" w:sz="4" w:space="0"/>
              <w:right w:val="single" w:color="auto" w:sz="4" w:space="0"/>
            </w:tcBorders>
            <w:vAlign w:val="center"/>
          </w:tcPr>
          <w:p w14:paraId="77BC025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响应性评审标准</w:t>
            </w:r>
          </w:p>
        </w:tc>
        <w:tc>
          <w:tcPr>
            <w:tcW w:w="1339" w:type="pct"/>
            <w:tcBorders>
              <w:top w:val="single" w:color="auto" w:sz="4" w:space="0"/>
              <w:left w:val="single" w:color="auto" w:sz="4" w:space="0"/>
              <w:bottom w:val="single" w:color="auto" w:sz="4" w:space="0"/>
              <w:right w:val="single" w:color="auto" w:sz="4" w:space="0"/>
            </w:tcBorders>
            <w:vAlign w:val="center"/>
          </w:tcPr>
          <w:p w14:paraId="64A02CB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报价</w:t>
            </w:r>
          </w:p>
        </w:tc>
        <w:tc>
          <w:tcPr>
            <w:tcW w:w="2621" w:type="pct"/>
            <w:tcBorders>
              <w:top w:val="single" w:color="auto" w:sz="4" w:space="0"/>
              <w:left w:val="single" w:color="auto" w:sz="4" w:space="0"/>
              <w:bottom w:val="single" w:color="auto" w:sz="4" w:space="0"/>
            </w:tcBorders>
            <w:vAlign w:val="center"/>
          </w:tcPr>
          <w:p w14:paraId="67016919">
            <w:pPr>
              <w:adjustRightInd w:val="0"/>
              <w:snapToGrid w:val="0"/>
              <w:rPr>
                <w:rFonts w:hint="eastAsia" w:ascii="仿宋" w:hAnsi="仿宋" w:eastAsia="仿宋" w:cs="仿宋"/>
                <w:sz w:val="24"/>
                <w:szCs w:val="24"/>
              </w:rPr>
            </w:pPr>
            <w:r>
              <w:rPr>
                <w:rFonts w:hint="eastAsia" w:ascii="仿宋" w:hAnsi="仿宋" w:eastAsia="仿宋" w:cs="仿宋"/>
                <w:sz w:val="24"/>
                <w:szCs w:val="24"/>
              </w:rPr>
              <w:t>符合第二章第3.2款规定</w:t>
            </w:r>
          </w:p>
        </w:tc>
      </w:tr>
      <w:tr w14:paraId="3968D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bottom w:val="single" w:color="auto" w:sz="4" w:space="0"/>
              <w:right w:val="single" w:color="auto" w:sz="4" w:space="0"/>
            </w:tcBorders>
            <w:vAlign w:val="center"/>
          </w:tcPr>
          <w:p w14:paraId="2FB8F4B2">
            <w:pPr>
              <w:adjustRightInd w:val="0"/>
              <w:snapToGrid w:val="0"/>
              <w:jc w:val="center"/>
              <w:rPr>
                <w:rFonts w:hint="eastAsia" w:ascii="仿宋" w:hAnsi="仿宋" w:eastAsia="仿宋" w:cs="仿宋"/>
                <w:sz w:val="24"/>
                <w:szCs w:val="24"/>
              </w:rPr>
            </w:pPr>
          </w:p>
        </w:tc>
        <w:tc>
          <w:tcPr>
            <w:tcW w:w="626" w:type="pct"/>
            <w:vMerge w:val="continue"/>
            <w:tcBorders>
              <w:left w:val="single" w:color="auto" w:sz="4" w:space="0"/>
              <w:bottom w:val="single" w:color="auto" w:sz="4" w:space="0"/>
              <w:right w:val="single" w:color="auto" w:sz="4" w:space="0"/>
            </w:tcBorders>
            <w:vAlign w:val="center"/>
          </w:tcPr>
          <w:p w14:paraId="619B9D52">
            <w:pPr>
              <w:adjustRightInd w:val="0"/>
              <w:snapToGrid w:val="0"/>
              <w:jc w:val="center"/>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68E27C3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响应内容</w:t>
            </w:r>
          </w:p>
        </w:tc>
        <w:tc>
          <w:tcPr>
            <w:tcW w:w="2621" w:type="pct"/>
            <w:tcBorders>
              <w:top w:val="single" w:color="auto" w:sz="4" w:space="0"/>
              <w:left w:val="single" w:color="auto" w:sz="4" w:space="0"/>
              <w:bottom w:val="single" w:color="auto" w:sz="4" w:space="0"/>
            </w:tcBorders>
            <w:vAlign w:val="center"/>
          </w:tcPr>
          <w:p w14:paraId="5C762E2F">
            <w:pPr>
              <w:adjustRightInd w:val="0"/>
              <w:snapToGrid w:val="0"/>
              <w:rPr>
                <w:rFonts w:hint="eastAsia" w:ascii="仿宋" w:hAnsi="仿宋" w:eastAsia="仿宋" w:cs="仿宋"/>
                <w:sz w:val="24"/>
                <w:szCs w:val="24"/>
              </w:rPr>
            </w:pPr>
            <w:r>
              <w:rPr>
                <w:rFonts w:hint="eastAsia" w:ascii="仿宋" w:hAnsi="仿宋" w:eastAsia="仿宋" w:cs="仿宋"/>
                <w:sz w:val="24"/>
                <w:szCs w:val="24"/>
              </w:rPr>
              <w:t>符合询比文件要求</w:t>
            </w:r>
          </w:p>
        </w:tc>
      </w:tr>
      <w:tr w14:paraId="00833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top w:val="single" w:color="auto" w:sz="4" w:space="0"/>
              <w:bottom w:val="single" w:color="auto" w:sz="4" w:space="0"/>
              <w:right w:val="single" w:color="auto" w:sz="4" w:space="0"/>
            </w:tcBorders>
            <w:vAlign w:val="center"/>
          </w:tcPr>
          <w:p w14:paraId="0F7CF2C2">
            <w:pPr>
              <w:adjustRightInd w:val="0"/>
              <w:snapToGrid w:val="0"/>
              <w:jc w:val="center"/>
              <w:rPr>
                <w:rFonts w:hint="eastAsia" w:ascii="仿宋" w:hAnsi="仿宋" w:eastAsia="仿宋" w:cs="仿宋"/>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4AC04774">
            <w:pPr>
              <w:adjustRightInd w:val="0"/>
              <w:snapToGrid w:val="0"/>
              <w:jc w:val="center"/>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1567B9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2621" w:type="pct"/>
            <w:tcBorders>
              <w:top w:val="single" w:color="auto" w:sz="4" w:space="0"/>
              <w:left w:val="single" w:color="auto" w:sz="4" w:space="0"/>
              <w:bottom w:val="single" w:color="auto" w:sz="4" w:space="0"/>
            </w:tcBorders>
            <w:vAlign w:val="center"/>
          </w:tcPr>
          <w:p w14:paraId="7A361EBC">
            <w:pPr>
              <w:adjustRightInd w:val="0"/>
              <w:snapToGrid w:val="0"/>
              <w:rPr>
                <w:rFonts w:hint="eastAsia" w:ascii="仿宋" w:hAnsi="仿宋" w:eastAsia="仿宋" w:cs="仿宋"/>
                <w:sz w:val="24"/>
                <w:szCs w:val="24"/>
              </w:rPr>
            </w:pPr>
            <w:r>
              <w:rPr>
                <w:rFonts w:hint="eastAsia" w:ascii="仿宋" w:hAnsi="仿宋" w:eastAsia="仿宋" w:cs="仿宋"/>
                <w:sz w:val="24"/>
                <w:szCs w:val="24"/>
              </w:rPr>
              <w:t>符合第一章“询比采购公告”第2.2款规定</w:t>
            </w:r>
          </w:p>
        </w:tc>
      </w:tr>
      <w:tr w14:paraId="6E857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top w:val="single" w:color="auto" w:sz="4" w:space="0"/>
              <w:bottom w:val="single" w:color="auto" w:sz="4" w:space="0"/>
              <w:right w:val="single" w:color="auto" w:sz="4" w:space="0"/>
            </w:tcBorders>
            <w:vAlign w:val="center"/>
          </w:tcPr>
          <w:p w14:paraId="0219FD03">
            <w:pPr>
              <w:adjustRightInd w:val="0"/>
              <w:snapToGrid w:val="0"/>
              <w:jc w:val="center"/>
              <w:rPr>
                <w:rFonts w:hint="eastAsia" w:ascii="仿宋" w:hAnsi="仿宋" w:eastAsia="仿宋" w:cs="仿宋"/>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14E04901">
            <w:pPr>
              <w:adjustRightInd w:val="0"/>
              <w:snapToGrid w:val="0"/>
              <w:jc w:val="center"/>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0C03C1E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服务地点</w:t>
            </w:r>
          </w:p>
        </w:tc>
        <w:tc>
          <w:tcPr>
            <w:tcW w:w="2621" w:type="pct"/>
            <w:tcBorders>
              <w:top w:val="single" w:color="auto" w:sz="4" w:space="0"/>
              <w:left w:val="single" w:color="auto" w:sz="4" w:space="0"/>
              <w:bottom w:val="single" w:color="auto" w:sz="4" w:space="0"/>
            </w:tcBorders>
            <w:vAlign w:val="center"/>
          </w:tcPr>
          <w:p w14:paraId="1E51D012">
            <w:pPr>
              <w:adjustRightInd w:val="0"/>
              <w:snapToGrid w:val="0"/>
              <w:rPr>
                <w:rFonts w:hint="eastAsia" w:ascii="仿宋" w:hAnsi="仿宋" w:eastAsia="仿宋" w:cs="仿宋"/>
                <w:sz w:val="24"/>
                <w:szCs w:val="24"/>
              </w:rPr>
            </w:pPr>
            <w:r>
              <w:rPr>
                <w:rFonts w:hint="eastAsia" w:ascii="仿宋" w:hAnsi="仿宋" w:eastAsia="仿宋" w:cs="仿宋"/>
                <w:sz w:val="24"/>
                <w:szCs w:val="24"/>
              </w:rPr>
              <w:t>符合第一章“询比采购公告”第2.3款规定</w:t>
            </w:r>
          </w:p>
        </w:tc>
      </w:tr>
      <w:tr w14:paraId="554ED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top w:val="single" w:color="auto" w:sz="4" w:space="0"/>
              <w:bottom w:val="single" w:color="auto" w:sz="4" w:space="0"/>
              <w:right w:val="single" w:color="auto" w:sz="4" w:space="0"/>
            </w:tcBorders>
            <w:vAlign w:val="center"/>
          </w:tcPr>
          <w:p w14:paraId="061C94C3">
            <w:pPr>
              <w:adjustRightInd w:val="0"/>
              <w:snapToGrid w:val="0"/>
              <w:jc w:val="center"/>
              <w:rPr>
                <w:rFonts w:hint="eastAsia" w:ascii="仿宋" w:hAnsi="仿宋" w:eastAsia="仿宋" w:cs="仿宋"/>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07FC764E">
            <w:pPr>
              <w:adjustRightInd w:val="0"/>
              <w:snapToGrid w:val="0"/>
              <w:jc w:val="center"/>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67324D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质量要求或服务标准</w:t>
            </w:r>
          </w:p>
        </w:tc>
        <w:tc>
          <w:tcPr>
            <w:tcW w:w="2621" w:type="pct"/>
            <w:tcBorders>
              <w:top w:val="single" w:color="auto" w:sz="4" w:space="0"/>
              <w:left w:val="single" w:color="auto" w:sz="4" w:space="0"/>
              <w:bottom w:val="single" w:color="auto" w:sz="4" w:space="0"/>
            </w:tcBorders>
            <w:vAlign w:val="center"/>
          </w:tcPr>
          <w:p w14:paraId="7F2FA54F">
            <w:pPr>
              <w:adjustRightInd w:val="0"/>
              <w:snapToGrid w:val="0"/>
              <w:rPr>
                <w:rFonts w:hint="eastAsia" w:ascii="仿宋" w:hAnsi="仿宋" w:eastAsia="仿宋" w:cs="仿宋"/>
                <w:sz w:val="24"/>
                <w:szCs w:val="24"/>
              </w:rPr>
            </w:pPr>
            <w:r>
              <w:rPr>
                <w:rFonts w:hint="eastAsia" w:ascii="仿宋" w:hAnsi="仿宋" w:eastAsia="仿宋" w:cs="仿宋"/>
                <w:sz w:val="24"/>
                <w:szCs w:val="24"/>
              </w:rPr>
              <w:t>符合《</w:t>
            </w:r>
            <w:r>
              <w:rPr>
                <w:rStyle w:val="38"/>
                <w:rFonts w:hint="eastAsia" w:ascii="仿宋" w:hAnsi="仿宋" w:eastAsia="仿宋" w:cs="仿宋"/>
                <w:color w:val="auto"/>
                <w:sz w:val="24"/>
                <w:szCs w:val="24"/>
                <w:u w:val="none"/>
              </w:rPr>
              <w:t>第五章采购需求》中的要求</w:t>
            </w:r>
          </w:p>
        </w:tc>
      </w:tr>
      <w:tr w14:paraId="7A21C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top w:val="single" w:color="auto" w:sz="4" w:space="0"/>
              <w:bottom w:val="single" w:color="auto" w:sz="4" w:space="0"/>
              <w:right w:val="single" w:color="auto" w:sz="4" w:space="0"/>
            </w:tcBorders>
            <w:vAlign w:val="center"/>
          </w:tcPr>
          <w:p w14:paraId="2C7C03A2">
            <w:pPr>
              <w:adjustRightInd w:val="0"/>
              <w:snapToGrid w:val="0"/>
              <w:jc w:val="center"/>
              <w:rPr>
                <w:rFonts w:hint="eastAsia" w:ascii="仿宋" w:hAnsi="仿宋" w:eastAsia="仿宋" w:cs="仿宋"/>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4C7FF3B2">
            <w:pPr>
              <w:adjustRightInd w:val="0"/>
              <w:snapToGrid w:val="0"/>
              <w:jc w:val="center"/>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6CF567C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响应保证金</w:t>
            </w:r>
          </w:p>
        </w:tc>
        <w:tc>
          <w:tcPr>
            <w:tcW w:w="2621" w:type="pct"/>
            <w:tcBorders>
              <w:top w:val="single" w:color="auto" w:sz="4" w:space="0"/>
              <w:left w:val="single" w:color="auto" w:sz="4" w:space="0"/>
              <w:bottom w:val="single" w:color="auto" w:sz="4" w:space="0"/>
            </w:tcBorders>
            <w:vAlign w:val="center"/>
          </w:tcPr>
          <w:p w14:paraId="7B594DC8">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符合第二章第3.4.1项规定</w:t>
            </w:r>
          </w:p>
        </w:tc>
      </w:tr>
      <w:tr w14:paraId="44555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top w:val="single" w:color="auto" w:sz="4" w:space="0"/>
              <w:bottom w:val="single" w:color="auto" w:sz="4" w:space="0"/>
              <w:right w:val="single" w:color="auto" w:sz="4" w:space="0"/>
            </w:tcBorders>
            <w:vAlign w:val="center"/>
          </w:tcPr>
          <w:p w14:paraId="603FC044">
            <w:pPr>
              <w:adjustRightInd w:val="0"/>
              <w:snapToGrid w:val="0"/>
              <w:jc w:val="center"/>
              <w:rPr>
                <w:rFonts w:hint="eastAsia" w:ascii="仿宋" w:hAnsi="仿宋" w:eastAsia="仿宋" w:cs="仿宋"/>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2DB8A7ED">
            <w:pPr>
              <w:adjustRightInd w:val="0"/>
              <w:snapToGrid w:val="0"/>
              <w:jc w:val="center"/>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31F822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响应文件有效期</w:t>
            </w:r>
          </w:p>
        </w:tc>
        <w:tc>
          <w:tcPr>
            <w:tcW w:w="2621" w:type="pct"/>
            <w:tcBorders>
              <w:top w:val="single" w:color="auto" w:sz="4" w:space="0"/>
              <w:left w:val="single" w:color="auto" w:sz="4" w:space="0"/>
              <w:bottom w:val="single" w:color="auto" w:sz="4" w:space="0"/>
            </w:tcBorders>
            <w:vAlign w:val="center"/>
          </w:tcPr>
          <w:p w14:paraId="5674F6FF">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符合第二章第3.3.1项规定</w:t>
            </w:r>
          </w:p>
        </w:tc>
      </w:tr>
      <w:tr w14:paraId="69437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top w:val="single" w:color="auto" w:sz="4" w:space="0"/>
              <w:bottom w:val="single" w:color="auto" w:sz="4" w:space="0"/>
              <w:right w:val="single" w:color="auto" w:sz="4" w:space="0"/>
            </w:tcBorders>
            <w:vAlign w:val="center"/>
          </w:tcPr>
          <w:p w14:paraId="455EF950">
            <w:pPr>
              <w:adjustRightInd w:val="0"/>
              <w:snapToGrid w:val="0"/>
              <w:jc w:val="center"/>
              <w:rPr>
                <w:rFonts w:hint="eastAsia" w:ascii="仿宋" w:hAnsi="仿宋" w:eastAsia="仿宋" w:cs="仿宋"/>
                <w:sz w:val="24"/>
                <w:szCs w:val="24"/>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49B11E40">
            <w:pPr>
              <w:adjustRightInd w:val="0"/>
              <w:snapToGrid w:val="0"/>
              <w:jc w:val="center"/>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2854462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2621" w:type="pct"/>
            <w:tcBorders>
              <w:top w:val="single" w:color="auto" w:sz="4" w:space="0"/>
              <w:left w:val="single" w:color="auto" w:sz="4" w:space="0"/>
              <w:bottom w:val="single" w:color="auto" w:sz="4" w:space="0"/>
            </w:tcBorders>
            <w:vAlign w:val="center"/>
          </w:tcPr>
          <w:p w14:paraId="70E06716">
            <w:pPr>
              <w:adjustRightInd w:val="0"/>
              <w:snapToGrid w:val="0"/>
              <w:rPr>
                <w:rFonts w:hint="eastAsia" w:ascii="仿宋" w:hAnsi="仿宋" w:eastAsia="仿宋" w:cs="仿宋"/>
                <w:sz w:val="24"/>
                <w:szCs w:val="24"/>
              </w:rPr>
            </w:pPr>
            <w:r>
              <w:rPr>
                <w:rFonts w:hint="eastAsia" w:ascii="仿宋" w:hAnsi="仿宋" w:eastAsia="仿宋" w:cs="仿宋"/>
                <w:sz w:val="24"/>
                <w:szCs w:val="24"/>
              </w:rPr>
              <w:t>符合采购文件列明的其他实质性要求</w:t>
            </w:r>
          </w:p>
        </w:tc>
      </w:tr>
      <w:tr w14:paraId="3A4A9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0" w:type="pct"/>
            <w:gridSpan w:val="2"/>
            <w:tcBorders>
              <w:bottom w:val="single" w:color="auto" w:sz="4" w:space="0"/>
              <w:right w:val="single" w:color="auto" w:sz="4" w:space="0"/>
            </w:tcBorders>
            <w:vAlign w:val="center"/>
          </w:tcPr>
          <w:p w14:paraId="4EB5160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2.2.2</w:t>
            </w:r>
          </w:p>
        </w:tc>
        <w:tc>
          <w:tcPr>
            <w:tcW w:w="1339" w:type="pct"/>
            <w:tcBorders>
              <w:top w:val="single" w:color="auto" w:sz="4" w:space="0"/>
              <w:left w:val="single" w:color="auto" w:sz="4" w:space="0"/>
              <w:bottom w:val="single" w:color="auto" w:sz="4" w:space="0"/>
              <w:right w:val="single" w:color="auto" w:sz="4" w:space="0"/>
            </w:tcBorders>
            <w:vAlign w:val="center"/>
          </w:tcPr>
          <w:p w14:paraId="6B90886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评审价格</w:t>
            </w:r>
          </w:p>
        </w:tc>
        <w:tc>
          <w:tcPr>
            <w:tcW w:w="2621" w:type="pct"/>
            <w:tcBorders>
              <w:top w:val="single" w:color="auto" w:sz="4" w:space="0"/>
              <w:left w:val="single" w:color="auto" w:sz="4" w:space="0"/>
            </w:tcBorders>
            <w:vAlign w:val="center"/>
          </w:tcPr>
          <w:p w14:paraId="794415F9">
            <w:pPr>
              <w:spacing w:line="400" w:lineRule="exact"/>
              <w:rPr>
                <w:rFonts w:hint="eastAsia" w:ascii="仿宋" w:hAnsi="仿宋" w:eastAsia="仿宋" w:cs="仿宋"/>
                <w:sz w:val="24"/>
                <w:szCs w:val="24"/>
              </w:rPr>
            </w:pPr>
            <w:r>
              <w:rPr>
                <w:rFonts w:hint="eastAsia" w:ascii="仿宋" w:hAnsi="仿宋" w:eastAsia="仿宋" w:cs="仿宋"/>
                <w:bCs/>
                <w:sz w:val="24"/>
                <w:szCs w:val="24"/>
              </w:rPr>
              <w:t>评审价格为供应商在响应函中填报的大写含税价格，即</w:t>
            </w:r>
            <w:r>
              <w:rPr>
                <w:rFonts w:hint="eastAsia" w:ascii="仿宋" w:hAnsi="仿宋" w:eastAsia="仿宋" w:cs="仿宋"/>
                <w:b/>
                <w:sz w:val="24"/>
                <w:szCs w:val="24"/>
              </w:rPr>
              <w:t>响应总报价</w:t>
            </w:r>
            <w:r>
              <w:rPr>
                <w:rFonts w:hint="eastAsia" w:ascii="仿宋" w:hAnsi="仿宋" w:eastAsia="仿宋" w:cs="仿宋"/>
                <w:bCs/>
                <w:sz w:val="24"/>
                <w:szCs w:val="24"/>
              </w:rPr>
              <w:t>。</w:t>
            </w:r>
          </w:p>
        </w:tc>
      </w:tr>
      <w:tr w14:paraId="5EAA0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0" w:type="pct"/>
            <w:gridSpan w:val="2"/>
            <w:tcBorders>
              <w:top w:val="single" w:color="auto" w:sz="4" w:space="0"/>
              <w:right w:val="single" w:color="auto" w:sz="4" w:space="0"/>
            </w:tcBorders>
            <w:vAlign w:val="center"/>
          </w:tcPr>
          <w:p w14:paraId="2D5023EA">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条款号</w:t>
            </w:r>
          </w:p>
        </w:tc>
        <w:tc>
          <w:tcPr>
            <w:tcW w:w="1339" w:type="pct"/>
            <w:tcBorders>
              <w:top w:val="single" w:color="auto" w:sz="4" w:space="0"/>
              <w:left w:val="single" w:color="auto" w:sz="4" w:space="0"/>
              <w:right w:val="single" w:color="auto" w:sz="4" w:space="0"/>
            </w:tcBorders>
            <w:vAlign w:val="center"/>
          </w:tcPr>
          <w:p w14:paraId="63C2716D">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条款内容</w:t>
            </w:r>
          </w:p>
        </w:tc>
        <w:tc>
          <w:tcPr>
            <w:tcW w:w="2621" w:type="pct"/>
            <w:tcBorders>
              <w:top w:val="single" w:color="auto" w:sz="4" w:space="0"/>
              <w:left w:val="single" w:color="auto" w:sz="4" w:space="0"/>
            </w:tcBorders>
            <w:vAlign w:val="center"/>
          </w:tcPr>
          <w:p w14:paraId="65D63A1A">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编列内容</w:t>
            </w:r>
          </w:p>
        </w:tc>
      </w:tr>
      <w:tr w14:paraId="102C3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bottom w:val="single" w:color="auto" w:sz="4" w:space="0"/>
              <w:right w:val="single" w:color="auto" w:sz="4" w:space="0"/>
            </w:tcBorders>
            <w:vAlign w:val="center"/>
          </w:tcPr>
          <w:p w14:paraId="4D3F4D64">
            <w:pPr>
              <w:adjustRightInd w:val="0"/>
              <w:snapToGrid w:val="0"/>
              <w:jc w:val="center"/>
              <w:rPr>
                <w:rFonts w:hint="eastAsia" w:ascii="仿宋" w:hAnsi="仿宋" w:eastAsia="仿宋" w:cs="仿宋"/>
                <w:sz w:val="24"/>
                <w:szCs w:val="24"/>
              </w:rPr>
            </w:pPr>
            <w:r>
              <w:rPr>
                <w:rFonts w:hint="eastAsia" w:ascii="仿宋" w:hAnsi="仿宋" w:eastAsia="仿宋" w:cs="仿宋"/>
                <w:b/>
                <w:sz w:val="24"/>
                <w:szCs w:val="24"/>
              </w:rPr>
              <w:t>3.</w:t>
            </w:r>
            <w:r>
              <w:rPr>
                <w:rFonts w:hint="eastAsia" w:ascii="仿宋" w:hAnsi="仿宋" w:eastAsia="仿宋" w:cs="仿宋"/>
                <w:sz w:val="24"/>
                <w:szCs w:val="24"/>
              </w:rPr>
              <w:t xml:space="preserve"> </w:t>
            </w:r>
            <w:r>
              <w:rPr>
                <w:rFonts w:hint="eastAsia" w:ascii="仿宋" w:hAnsi="仿宋" w:eastAsia="仿宋" w:cs="仿宋"/>
                <w:b/>
                <w:sz w:val="24"/>
                <w:szCs w:val="24"/>
              </w:rPr>
              <w:t>详细评审标准和程序</w:t>
            </w:r>
          </w:p>
        </w:tc>
      </w:tr>
      <w:tr w14:paraId="549DD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0" w:type="pct"/>
            <w:gridSpan w:val="2"/>
            <w:tcBorders>
              <w:top w:val="single" w:color="auto" w:sz="4" w:space="0"/>
              <w:bottom w:val="single" w:color="auto" w:sz="4" w:space="0"/>
              <w:right w:val="single" w:color="auto" w:sz="4" w:space="0"/>
            </w:tcBorders>
            <w:vAlign w:val="center"/>
          </w:tcPr>
          <w:p w14:paraId="5FF7DEBE">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条款号</w:t>
            </w:r>
          </w:p>
        </w:tc>
        <w:tc>
          <w:tcPr>
            <w:tcW w:w="1339" w:type="pct"/>
            <w:tcBorders>
              <w:top w:val="single" w:color="auto" w:sz="4" w:space="0"/>
              <w:left w:val="single" w:color="auto" w:sz="4" w:space="0"/>
              <w:bottom w:val="single" w:color="auto" w:sz="4" w:space="0"/>
              <w:right w:val="single" w:color="auto" w:sz="4" w:space="0"/>
            </w:tcBorders>
            <w:vAlign w:val="center"/>
          </w:tcPr>
          <w:p w14:paraId="41E0FB71">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条款内容</w:t>
            </w:r>
          </w:p>
        </w:tc>
        <w:tc>
          <w:tcPr>
            <w:tcW w:w="2621" w:type="pct"/>
            <w:tcBorders>
              <w:top w:val="single" w:color="auto" w:sz="4" w:space="0"/>
              <w:left w:val="single" w:color="auto" w:sz="4" w:space="0"/>
              <w:bottom w:val="single" w:color="auto" w:sz="4" w:space="0"/>
              <w:right w:val="single" w:color="auto" w:sz="4" w:space="0"/>
            </w:tcBorders>
            <w:vAlign w:val="center"/>
          </w:tcPr>
          <w:p w14:paraId="6EA46F99">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编列内容</w:t>
            </w:r>
          </w:p>
        </w:tc>
      </w:tr>
      <w:tr w14:paraId="37F86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0" w:type="pct"/>
            <w:gridSpan w:val="2"/>
            <w:tcBorders>
              <w:bottom w:val="single" w:color="auto" w:sz="4" w:space="0"/>
              <w:right w:val="single" w:color="auto" w:sz="4" w:space="0"/>
            </w:tcBorders>
            <w:vAlign w:val="center"/>
          </w:tcPr>
          <w:p w14:paraId="3B56B7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3. 1</w:t>
            </w:r>
          </w:p>
        </w:tc>
        <w:tc>
          <w:tcPr>
            <w:tcW w:w="1339" w:type="pct"/>
            <w:tcBorders>
              <w:top w:val="single" w:color="auto" w:sz="4" w:space="0"/>
              <w:left w:val="single" w:color="auto" w:sz="4" w:space="0"/>
              <w:bottom w:val="single" w:color="auto" w:sz="4" w:space="0"/>
              <w:right w:val="single" w:color="auto" w:sz="4" w:space="0"/>
            </w:tcBorders>
            <w:vAlign w:val="center"/>
          </w:tcPr>
          <w:p w14:paraId="0C16D9F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分值构成</w:t>
            </w:r>
          </w:p>
          <w:p w14:paraId="14A01DB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（总分100分）</w:t>
            </w:r>
          </w:p>
        </w:tc>
        <w:tc>
          <w:tcPr>
            <w:tcW w:w="2621" w:type="pct"/>
            <w:tcBorders>
              <w:top w:val="single" w:color="auto" w:sz="4" w:space="0"/>
              <w:left w:val="single" w:color="auto" w:sz="4" w:space="0"/>
              <w:bottom w:val="single" w:color="auto" w:sz="4" w:space="0"/>
              <w:right w:val="single" w:color="auto" w:sz="4" w:space="0"/>
            </w:tcBorders>
            <w:vAlign w:val="center"/>
          </w:tcPr>
          <w:p w14:paraId="44930213">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rPr>
              <w:t>（1）商务部分：</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p w14:paraId="38D3D7C8">
            <w:pPr>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（2）技术部分：</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rPr>
              <w:t>分</w:t>
            </w:r>
          </w:p>
          <w:p w14:paraId="5DE3DC0F">
            <w:pPr>
              <w:adjustRightInd w:val="0"/>
              <w:snapToGrid w:val="0"/>
              <w:rPr>
                <w:rFonts w:hint="eastAsia" w:ascii="仿宋" w:hAnsi="仿宋" w:eastAsia="仿宋" w:cs="仿宋"/>
                <w:sz w:val="24"/>
                <w:szCs w:val="24"/>
              </w:rPr>
            </w:pPr>
            <w:r>
              <w:rPr>
                <w:rFonts w:hint="eastAsia" w:ascii="仿宋" w:hAnsi="仿宋" w:eastAsia="仿宋" w:cs="仿宋"/>
                <w:sz w:val="24"/>
                <w:szCs w:val="24"/>
              </w:rPr>
              <w:t>（3）报价：3</w:t>
            </w:r>
            <w:r>
              <w:rPr>
                <w:rFonts w:hint="eastAsia" w:ascii="仿宋" w:hAnsi="仿宋" w:eastAsia="仿宋" w:cs="仿宋"/>
                <w:sz w:val="24"/>
                <w:szCs w:val="24"/>
                <w:u w:val="single"/>
              </w:rPr>
              <w:t>0</w:t>
            </w:r>
            <w:r>
              <w:rPr>
                <w:rFonts w:hint="eastAsia" w:ascii="仿宋" w:hAnsi="仿宋" w:eastAsia="仿宋" w:cs="仿宋"/>
                <w:sz w:val="24"/>
                <w:szCs w:val="24"/>
              </w:rPr>
              <w:t>分</w:t>
            </w:r>
          </w:p>
          <w:p w14:paraId="49495CD2">
            <w:pPr>
              <w:adjustRightInd w:val="0"/>
              <w:snapToGrid w:val="0"/>
              <w:rPr>
                <w:rFonts w:hint="eastAsia" w:ascii="仿宋" w:hAnsi="仿宋" w:eastAsia="仿宋" w:cs="仿宋"/>
                <w:sz w:val="24"/>
                <w:szCs w:val="24"/>
              </w:rPr>
            </w:pPr>
            <w:r>
              <w:rPr>
                <w:rFonts w:hint="eastAsia" w:ascii="仿宋" w:hAnsi="仿宋" w:eastAsia="仿宋" w:cs="仿宋"/>
                <w:sz w:val="24"/>
                <w:szCs w:val="24"/>
              </w:rPr>
              <w:t>（4）其他评分因素：</w:t>
            </w:r>
            <w:r>
              <w:rPr>
                <w:rFonts w:hint="eastAsia" w:ascii="仿宋" w:hAnsi="仿宋" w:eastAsia="仿宋" w:cs="仿宋"/>
                <w:sz w:val="24"/>
                <w:szCs w:val="24"/>
                <w:u w:val="single"/>
              </w:rPr>
              <w:t>/</w:t>
            </w:r>
            <w:r>
              <w:rPr>
                <w:rFonts w:hint="eastAsia" w:ascii="仿宋" w:hAnsi="仿宋" w:eastAsia="仿宋" w:cs="仿宋"/>
                <w:sz w:val="24"/>
                <w:szCs w:val="24"/>
              </w:rPr>
              <w:t>分（如有）</w:t>
            </w:r>
          </w:p>
        </w:tc>
      </w:tr>
      <w:tr w14:paraId="25D26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0" w:type="pct"/>
            <w:gridSpan w:val="2"/>
            <w:tcBorders>
              <w:top w:val="single" w:color="auto" w:sz="4" w:space="0"/>
              <w:bottom w:val="single" w:color="auto" w:sz="4" w:space="0"/>
              <w:right w:val="single" w:color="auto" w:sz="4" w:space="0"/>
            </w:tcBorders>
            <w:vAlign w:val="center"/>
          </w:tcPr>
          <w:p w14:paraId="354449A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2（2）</w:t>
            </w:r>
          </w:p>
        </w:tc>
        <w:tc>
          <w:tcPr>
            <w:tcW w:w="1339" w:type="pct"/>
            <w:tcBorders>
              <w:top w:val="single" w:color="auto" w:sz="4" w:space="0"/>
              <w:left w:val="single" w:color="auto" w:sz="4" w:space="0"/>
              <w:bottom w:val="single" w:color="auto" w:sz="4" w:space="0"/>
              <w:right w:val="single" w:color="auto" w:sz="4" w:space="0"/>
            </w:tcBorders>
            <w:vAlign w:val="center"/>
          </w:tcPr>
          <w:p w14:paraId="43250E0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评审基准价计算方法</w:t>
            </w:r>
          </w:p>
        </w:tc>
        <w:tc>
          <w:tcPr>
            <w:tcW w:w="2621" w:type="pct"/>
            <w:tcBorders>
              <w:top w:val="single" w:color="auto" w:sz="4" w:space="0"/>
              <w:left w:val="single" w:color="auto" w:sz="4" w:space="0"/>
              <w:bottom w:val="single" w:color="auto" w:sz="4" w:space="0"/>
              <w:right w:val="single" w:color="auto" w:sz="4" w:space="0"/>
            </w:tcBorders>
            <w:vAlign w:val="center"/>
          </w:tcPr>
          <w:p w14:paraId="74A79CFB">
            <w:pPr>
              <w:spacing w:line="400" w:lineRule="exact"/>
              <w:ind w:firstLine="482" w:firstLineChars="200"/>
              <w:rPr>
                <w:rFonts w:hint="eastAsia" w:ascii="仿宋" w:hAnsi="仿宋" w:eastAsia="仿宋" w:cs="仿宋"/>
                <w:b/>
                <w:bCs/>
                <w:sz w:val="24"/>
                <w:szCs w:val="24"/>
              </w:rPr>
            </w:pPr>
            <w:r>
              <w:rPr>
                <w:rFonts w:ascii="仿宋" w:hAnsi="仿宋" w:eastAsia="仿宋" w:cs="仿宋"/>
                <w:b/>
                <w:bCs/>
                <w:sz w:val="24"/>
                <w:szCs w:val="24"/>
              </w:rPr>
              <w:sym w:font="Wingdings 2" w:char="0052"/>
            </w:r>
            <w:r>
              <w:rPr>
                <w:rFonts w:hint="eastAsia" w:ascii="仿宋" w:hAnsi="仿宋" w:eastAsia="仿宋" w:cs="仿宋"/>
                <w:b/>
                <w:bCs/>
                <w:sz w:val="24"/>
                <w:szCs w:val="24"/>
              </w:rPr>
              <w:t>方法一：评审基准价=评审价格平均值（即通过初步评审的所有供应商评审价格的算术平均值）</w:t>
            </w:r>
          </w:p>
          <w:p w14:paraId="2BDDA32D">
            <w:pPr>
              <w:spacing w:line="400" w:lineRule="exact"/>
              <w:ind w:firstLine="480" w:firstLineChars="200"/>
              <w:rPr>
                <w:rFonts w:hint="eastAsia" w:ascii="仿宋" w:hAnsi="仿宋" w:eastAsia="仿宋" w:cs="仿宋"/>
                <w:sz w:val="24"/>
                <w:szCs w:val="24"/>
              </w:rPr>
            </w:pPr>
            <w:r>
              <w:rPr>
                <w:rFonts w:ascii="仿宋" w:hAnsi="仿宋" w:eastAsia="仿宋" w:cs="仿宋"/>
                <w:sz w:val="24"/>
                <w:szCs w:val="24"/>
              </w:rPr>
              <w:sym w:font="Wingdings 2" w:char="F0A3"/>
            </w:r>
            <w:r>
              <w:rPr>
                <w:rFonts w:hint="eastAsia" w:ascii="仿宋" w:hAnsi="仿宋" w:eastAsia="仿宋" w:cs="仿宋"/>
                <w:sz w:val="24"/>
                <w:szCs w:val="24"/>
              </w:rPr>
              <w:t>方法二：评审基准价=评审价格平均值（即通过初步评审的所有供应商评审价格的算术平均值）×评审基准价系数，评审基准价系数=XX</w:t>
            </w:r>
          </w:p>
          <w:p w14:paraId="2DEAE410">
            <w:pPr>
              <w:spacing w:line="400" w:lineRule="exact"/>
              <w:ind w:firstLine="480" w:firstLineChars="200"/>
              <w:rPr>
                <w:rFonts w:hint="eastAsia" w:ascii="仿宋" w:hAnsi="仿宋" w:eastAsia="仿宋" w:cs="仿宋"/>
                <w:sz w:val="24"/>
                <w:szCs w:val="24"/>
              </w:rPr>
            </w:pPr>
            <w:r>
              <w:rPr>
                <w:rFonts w:ascii="仿宋" w:hAnsi="仿宋" w:eastAsia="仿宋" w:cs="仿宋"/>
                <w:sz w:val="24"/>
                <w:szCs w:val="24"/>
              </w:rPr>
              <w:sym w:font="Wingdings 2" w:char="F0A3"/>
            </w:r>
            <w:r>
              <w:rPr>
                <w:rFonts w:hint="eastAsia" w:ascii="仿宋" w:hAnsi="仿宋" w:eastAsia="仿宋" w:cs="仿宋"/>
                <w:sz w:val="24"/>
                <w:szCs w:val="24"/>
              </w:rPr>
              <w:t>方法三：评审基准价=通过初步评审的所有供应商的最低评审价格。</w:t>
            </w:r>
          </w:p>
        </w:tc>
      </w:tr>
      <w:tr w14:paraId="225F6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0" w:type="pct"/>
            <w:gridSpan w:val="2"/>
            <w:tcBorders>
              <w:top w:val="nil"/>
              <w:bottom w:val="single" w:color="auto" w:sz="4" w:space="0"/>
              <w:right w:val="single" w:color="auto" w:sz="4" w:space="0"/>
            </w:tcBorders>
            <w:vAlign w:val="center"/>
          </w:tcPr>
          <w:p w14:paraId="790A6299">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条款号及名称</w:t>
            </w:r>
          </w:p>
        </w:tc>
        <w:tc>
          <w:tcPr>
            <w:tcW w:w="1339" w:type="pct"/>
            <w:tcBorders>
              <w:top w:val="single" w:color="auto" w:sz="4" w:space="0"/>
              <w:left w:val="single" w:color="auto" w:sz="4" w:space="0"/>
              <w:bottom w:val="single" w:color="auto" w:sz="4" w:space="0"/>
              <w:right w:val="single" w:color="auto" w:sz="4" w:space="0"/>
            </w:tcBorders>
            <w:vAlign w:val="center"/>
          </w:tcPr>
          <w:p w14:paraId="7AEAE788">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评分因素</w:t>
            </w:r>
          </w:p>
        </w:tc>
        <w:tc>
          <w:tcPr>
            <w:tcW w:w="2621" w:type="pct"/>
            <w:tcBorders>
              <w:top w:val="single" w:color="auto" w:sz="4" w:space="0"/>
              <w:left w:val="single" w:color="auto" w:sz="4" w:space="0"/>
              <w:bottom w:val="single" w:color="auto" w:sz="4" w:space="0"/>
              <w:right w:val="single" w:color="auto" w:sz="4" w:space="0"/>
            </w:tcBorders>
            <w:vAlign w:val="center"/>
          </w:tcPr>
          <w:p w14:paraId="20432D49">
            <w:pPr>
              <w:adjustRightInd w:val="0"/>
              <w:snapToGrid w:val="0"/>
              <w:jc w:val="center"/>
              <w:rPr>
                <w:rFonts w:hint="eastAsia" w:ascii="仿宋" w:hAnsi="仿宋" w:eastAsia="仿宋" w:cs="仿宋"/>
                <w:b/>
                <w:sz w:val="24"/>
                <w:szCs w:val="24"/>
              </w:rPr>
            </w:pPr>
            <w:r>
              <w:rPr>
                <w:rFonts w:hint="eastAsia" w:ascii="仿宋" w:hAnsi="仿宋" w:eastAsia="仿宋" w:cs="仿宋"/>
                <w:b/>
                <w:sz w:val="24"/>
                <w:szCs w:val="24"/>
              </w:rPr>
              <w:t>评分标准</w:t>
            </w:r>
          </w:p>
        </w:tc>
      </w:tr>
      <w:tr w14:paraId="1EDB4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414" w:type="pct"/>
            <w:vMerge w:val="restart"/>
            <w:tcBorders>
              <w:right w:val="single" w:color="auto" w:sz="4" w:space="0"/>
            </w:tcBorders>
            <w:vAlign w:val="center"/>
          </w:tcPr>
          <w:p w14:paraId="44827CB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3（1）</w:t>
            </w:r>
          </w:p>
        </w:tc>
        <w:tc>
          <w:tcPr>
            <w:tcW w:w="626" w:type="pct"/>
            <w:vMerge w:val="restart"/>
            <w:tcBorders>
              <w:top w:val="single" w:color="auto" w:sz="4" w:space="0"/>
              <w:bottom w:val="single" w:color="auto" w:sz="4" w:space="0"/>
              <w:right w:val="single" w:color="auto" w:sz="4" w:space="0"/>
            </w:tcBorders>
            <w:vAlign w:val="center"/>
          </w:tcPr>
          <w:p w14:paraId="66C95AF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商务评分标准（20分）</w:t>
            </w:r>
          </w:p>
        </w:tc>
        <w:tc>
          <w:tcPr>
            <w:tcW w:w="1339" w:type="pct"/>
            <w:tcBorders>
              <w:top w:val="single" w:color="auto" w:sz="4" w:space="0"/>
              <w:left w:val="single" w:color="auto" w:sz="4" w:space="0"/>
              <w:right w:val="single" w:color="auto" w:sz="4" w:space="0"/>
            </w:tcBorders>
            <w:vAlign w:val="center"/>
          </w:tcPr>
          <w:p w14:paraId="10B21678">
            <w:pPr>
              <w:widowControl/>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认证与人员配备（16分）</w:t>
            </w:r>
          </w:p>
        </w:tc>
        <w:tc>
          <w:tcPr>
            <w:tcW w:w="2621" w:type="pct"/>
            <w:tcBorders>
              <w:top w:val="single" w:color="auto" w:sz="4" w:space="0"/>
              <w:left w:val="single" w:color="auto" w:sz="4" w:space="0"/>
              <w:right w:val="single" w:color="auto" w:sz="4" w:space="0"/>
            </w:tcBorders>
            <w:vAlign w:val="center"/>
          </w:tcPr>
          <w:p w14:paraId="7D167DC1">
            <w:pPr>
              <w:adjustRightInd w:val="0"/>
              <w:snapToGrid w:val="0"/>
              <w:rPr>
                <w:rFonts w:ascii="仿宋" w:hAnsi="仿宋" w:eastAsia="仿宋" w:cs="仿宋"/>
                <w:sz w:val="24"/>
                <w:szCs w:val="24"/>
              </w:rPr>
            </w:pPr>
            <w:r>
              <w:rPr>
                <w:rFonts w:hint="eastAsia" w:ascii="仿宋" w:hAnsi="仿宋" w:eastAsia="仿宋" w:cs="仿宋"/>
                <w:sz w:val="24"/>
                <w:szCs w:val="24"/>
              </w:rPr>
              <w:t>1.供应商提供的企业质量管理体系认证、汽车维修企业计量检测体系认证、量具校证书（证书须在有效期内）。每提供一个得2分，最高得6分。</w:t>
            </w:r>
          </w:p>
          <w:p w14:paraId="6EB9825D">
            <w:pPr>
              <w:adjustRightInd w:val="0"/>
              <w:snapToGrid w:val="0"/>
              <w:rPr>
                <w:rFonts w:hint="eastAsia" w:ascii="仿宋" w:hAnsi="仿宋" w:eastAsia="仿宋" w:cs="仿宋"/>
                <w:sz w:val="24"/>
                <w:szCs w:val="24"/>
              </w:rPr>
            </w:pPr>
            <w:r>
              <w:rPr>
                <w:rFonts w:hint="eastAsia" w:ascii="仿宋" w:hAnsi="仿宋" w:eastAsia="仿宋" w:cs="仿宋"/>
                <w:sz w:val="24"/>
                <w:szCs w:val="24"/>
              </w:rPr>
              <w:t>2.供应商提供的车辆维修从业人员的从业资格，每提供一个得2分，最高得10分。</w:t>
            </w:r>
          </w:p>
        </w:tc>
      </w:tr>
      <w:tr w14:paraId="428F8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414" w:type="pct"/>
            <w:vMerge w:val="continue"/>
            <w:tcBorders>
              <w:right w:val="single" w:color="auto" w:sz="4" w:space="0"/>
            </w:tcBorders>
            <w:vAlign w:val="center"/>
          </w:tcPr>
          <w:p w14:paraId="3F8D86CF">
            <w:pPr>
              <w:adjustRightInd w:val="0"/>
              <w:snapToGrid w:val="0"/>
              <w:jc w:val="center"/>
              <w:rPr>
                <w:rFonts w:hint="eastAsia" w:ascii="仿宋" w:hAnsi="仿宋" w:eastAsia="仿宋" w:cs="仿宋"/>
                <w:sz w:val="24"/>
                <w:szCs w:val="24"/>
              </w:rPr>
            </w:pPr>
          </w:p>
        </w:tc>
        <w:tc>
          <w:tcPr>
            <w:tcW w:w="626" w:type="pct"/>
            <w:vMerge w:val="continue"/>
            <w:tcBorders>
              <w:top w:val="single" w:color="auto" w:sz="4" w:space="0"/>
              <w:bottom w:val="single" w:color="auto" w:sz="4" w:space="0"/>
              <w:right w:val="single" w:color="auto" w:sz="4" w:space="0"/>
            </w:tcBorders>
            <w:vAlign w:val="center"/>
          </w:tcPr>
          <w:p w14:paraId="33797A15">
            <w:pPr>
              <w:adjustRightInd w:val="0"/>
              <w:snapToGrid w:val="0"/>
              <w:jc w:val="center"/>
              <w:rPr>
                <w:rFonts w:hint="eastAsia" w:ascii="仿宋" w:hAnsi="仿宋" w:eastAsia="仿宋" w:cs="仿宋"/>
                <w:sz w:val="24"/>
                <w:szCs w:val="24"/>
              </w:rPr>
            </w:pPr>
          </w:p>
        </w:tc>
        <w:tc>
          <w:tcPr>
            <w:tcW w:w="1339" w:type="pct"/>
            <w:tcBorders>
              <w:top w:val="single" w:color="auto" w:sz="4" w:space="0"/>
              <w:left w:val="single" w:color="auto" w:sz="4" w:space="0"/>
              <w:right w:val="single" w:color="auto" w:sz="4" w:space="0"/>
            </w:tcBorders>
            <w:vAlign w:val="center"/>
          </w:tcPr>
          <w:p w14:paraId="564D4B06">
            <w:pPr>
              <w:widowControl/>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供应商业绩（4分）</w:t>
            </w:r>
          </w:p>
        </w:tc>
        <w:tc>
          <w:tcPr>
            <w:tcW w:w="2621" w:type="pct"/>
            <w:tcBorders>
              <w:top w:val="single" w:color="auto" w:sz="4" w:space="0"/>
              <w:left w:val="single" w:color="auto" w:sz="4" w:space="0"/>
              <w:right w:val="single" w:color="auto" w:sz="4" w:space="0"/>
            </w:tcBorders>
            <w:vAlign w:val="center"/>
          </w:tcPr>
          <w:p w14:paraId="6E440563">
            <w:pPr>
              <w:adjustRightInd w:val="0"/>
              <w:snapToGrid w:val="0"/>
              <w:rPr>
                <w:rFonts w:hint="eastAsia" w:ascii="仿宋" w:hAnsi="仿宋" w:eastAsia="仿宋" w:cs="仿宋"/>
                <w:sz w:val="24"/>
                <w:szCs w:val="24"/>
              </w:rPr>
            </w:pPr>
            <w:r>
              <w:rPr>
                <w:rFonts w:hint="eastAsia" w:ascii="仿宋" w:hAnsi="仿宋" w:eastAsia="仿宋" w:cs="仿宋"/>
                <w:sz w:val="24"/>
                <w:szCs w:val="24"/>
              </w:rPr>
              <w:t>近五年每有一个行政机关、事业单位公务车辆定点维修的业绩得1分，最高4分（以发生劳务关系的合同或协议为准）。</w:t>
            </w:r>
          </w:p>
        </w:tc>
      </w:tr>
      <w:tr w14:paraId="548DF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4" w:type="pct"/>
            <w:vMerge w:val="restart"/>
            <w:tcBorders>
              <w:right w:val="single" w:color="auto" w:sz="4" w:space="0"/>
            </w:tcBorders>
            <w:vAlign w:val="center"/>
          </w:tcPr>
          <w:p w14:paraId="1070F6D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3（2）</w:t>
            </w:r>
          </w:p>
        </w:tc>
        <w:tc>
          <w:tcPr>
            <w:tcW w:w="626" w:type="pct"/>
            <w:vMerge w:val="restart"/>
            <w:tcBorders>
              <w:top w:val="single" w:color="auto" w:sz="4" w:space="0"/>
              <w:bottom w:val="single" w:color="auto" w:sz="4" w:space="0"/>
              <w:right w:val="single" w:color="auto" w:sz="4" w:space="0"/>
            </w:tcBorders>
            <w:vAlign w:val="center"/>
          </w:tcPr>
          <w:p w14:paraId="7693851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技术评分标准（50分）</w:t>
            </w:r>
          </w:p>
        </w:tc>
        <w:tc>
          <w:tcPr>
            <w:tcW w:w="1339" w:type="pct"/>
            <w:tcBorders>
              <w:top w:val="single" w:color="auto" w:sz="4" w:space="0"/>
              <w:left w:val="single" w:color="auto" w:sz="4" w:space="0"/>
              <w:bottom w:val="single" w:color="auto" w:sz="4" w:space="0"/>
              <w:right w:val="single" w:color="auto" w:sz="4" w:space="0"/>
            </w:tcBorders>
            <w:vAlign w:val="center"/>
          </w:tcPr>
          <w:p w14:paraId="406586DD">
            <w:pPr>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维修能力（10分）</w:t>
            </w:r>
          </w:p>
        </w:tc>
        <w:tc>
          <w:tcPr>
            <w:tcW w:w="2621" w:type="pct"/>
            <w:tcBorders>
              <w:top w:val="single" w:color="auto" w:sz="4" w:space="0"/>
              <w:left w:val="single" w:color="auto" w:sz="4" w:space="0"/>
              <w:bottom w:val="single" w:color="auto" w:sz="4" w:space="0"/>
              <w:right w:val="single" w:color="auto" w:sz="4" w:space="0"/>
            </w:tcBorders>
            <w:vAlign w:val="center"/>
          </w:tcPr>
          <w:p w14:paraId="24F221C9">
            <w:pPr>
              <w:adjustRightInd w:val="0"/>
              <w:snapToGrid w:val="0"/>
              <w:rPr>
                <w:rFonts w:hint="eastAsia" w:ascii="仿宋" w:hAnsi="仿宋" w:eastAsia="仿宋" w:cs="仿宋"/>
                <w:sz w:val="24"/>
                <w:szCs w:val="24"/>
              </w:rPr>
            </w:pPr>
            <w:r>
              <w:rPr>
                <w:rFonts w:hint="eastAsia" w:ascii="仿宋" w:hAnsi="仿宋" w:eastAsia="仿宋" w:cs="仿宋"/>
                <w:sz w:val="24"/>
                <w:szCs w:val="24"/>
              </w:rPr>
              <w:t>供应商地理位置、场地性质、交通状况、平面布置、服务态度、规章管理和收费标准的透明度、检修设备以及上年度机关、单位、企业定点维修报表执行情况（如有的话）及业务合同履行情况，供应商提供情况说明、实拍彩图及相关台账资料供评委综合分析评比：整体情况优秀的得6＜F≤10分, 整体情况较好的得3＜F≤6分, 整体情况一般的得0＜F≤3分；若响应文件中未提供相应评审内容，则本项得0分。</w:t>
            </w:r>
          </w:p>
          <w:p w14:paraId="48A6FECF">
            <w:pPr>
              <w:adjustRightInd w:val="0"/>
              <w:snapToGrid w:val="0"/>
              <w:rPr>
                <w:rFonts w:hint="eastAsia" w:ascii="仿宋" w:hAnsi="仿宋" w:eastAsia="仿宋" w:cs="仿宋"/>
                <w:sz w:val="24"/>
                <w:szCs w:val="24"/>
              </w:rPr>
            </w:pPr>
            <w:r>
              <w:rPr>
                <w:rFonts w:hint="eastAsia" w:ascii="仿宋" w:hAnsi="仿宋" w:eastAsia="仿宋" w:cs="仿宋"/>
                <w:sz w:val="24"/>
                <w:szCs w:val="24"/>
              </w:rPr>
              <w:t>注：F为供应商该项得分。</w:t>
            </w:r>
          </w:p>
        </w:tc>
      </w:tr>
      <w:tr w14:paraId="1674A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4" w:type="pct"/>
            <w:vMerge w:val="continue"/>
            <w:tcBorders>
              <w:right w:val="single" w:color="auto" w:sz="4" w:space="0"/>
            </w:tcBorders>
            <w:vAlign w:val="center"/>
          </w:tcPr>
          <w:p w14:paraId="5A3021E5">
            <w:pPr>
              <w:adjustRightInd w:val="0"/>
              <w:snapToGrid w:val="0"/>
              <w:jc w:val="center"/>
              <w:rPr>
                <w:rFonts w:hint="eastAsia" w:ascii="仿宋" w:hAnsi="仿宋" w:eastAsia="仿宋" w:cs="仿宋"/>
                <w:sz w:val="24"/>
                <w:szCs w:val="24"/>
              </w:rPr>
            </w:pPr>
          </w:p>
        </w:tc>
        <w:tc>
          <w:tcPr>
            <w:tcW w:w="626" w:type="pct"/>
            <w:vMerge w:val="continue"/>
            <w:tcBorders>
              <w:top w:val="single" w:color="auto" w:sz="4" w:space="0"/>
              <w:bottom w:val="single" w:color="auto" w:sz="4" w:space="0"/>
              <w:right w:val="single" w:color="auto" w:sz="4" w:space="0"/>
            </w:tcBorders>
            <w:vAlign w:val="center"/>
          </w:tcPr>
          <w:p w14:paraId="03914495">
            <w:pPr>
              <w:adjustRightInd w:val="0"/>
              <w:snapToGrid w:val="0"/>
              <w:jc w:val="center"/>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7700BB4D">
            <w:pPr>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供应商综合实力（10分）</w:t>
            </w:r>
          </w:p>
        </w:tc>
        <w:tc>
          <w:tcPr>
            <w:tcW w:w="2621" w:type="pct"/>
            <w:tcBorders>
              <w:top w:val="single" w:color="auto" w:sz="4" w:space="0"/>
              <w:left w:val="single" w:color="auto" w:sz="4" w:space="0"/>
              <w:bottom w:val="single" w:color="auto" w:sz="4" w:space="0"/>
              <w:right w:val="single" w:color="auto" w:sz="4" w:space="0"/>
            </w:tcBorders>
            <w:vAlign w:val="center"/>
          </w:tcPr>
          <w:p w14:paraId="4FDAA5F8">
            <w:pPr>
              <w:adjustRightInd w:val="0"/>
              <w:snapToGrid w:val="0"/>
              <w:rPr>
                <w:rFonts w:hint="eastAsia" w:ascii="仿宋" w:hAnsi="仿宋" w:eastAsia="仿宋" w:cs="仿宋"/>
                <w:sz w:val="24"/>
                <w:szCs w:val="24"/>
              </w:rPr>
            </w:pPr>
            <w:r>
              <w:rPr>
                <w:rFonts w:hint="eastAsia" w:ascii="仿宋" w:hAnsi="仿宋" w:eastAsia="仿宋" w:cs="仿宋"/>
                <w:sz w:val="24"/>
                <w:szCs w:val="24"/>
              </w:rPr>
              <w:t>根据供应商提供的针对综合实力证明资料进行综合打分，包括但不限于获奖荣誉、技术先进性及认可度、综合表现等：整体情况优秀的得6＜F≤10分, 整体情况较好的得3＜F≤6分, 整体情况一般的得0＜F≤3分；若响应文件中未提供相应评审内容，则本项得0分。</w:t>
            </w:r>
          </w:p>
          <w:p w14:paraId="721E7B7F">
            <w:pPr>
              <w:adjustRightInd w:val="0"/>
              <w:snapToGrid w:val="0"/>
              <w:rPr>
                <w:rFonts w:hint="eastAsia" w:ascii="仿宋" w:hAnsi="仿宋" w:eastAsia="仿宋" w:cs="仿宋"/>
                <w:sz w:val="24"/>
                <w:szCs w:val="24"/>
              </w:rPr>
            </w:pPr>
            <w:r>
              <w:rPr>
                <w:rFonts w:hint="eastAsia" w:ascii="仿宋" w:hAnsi="仿宋" w:eastAsia="仿宋" w:cs="仿宋"/>
                <w:sz w:val="24"/>
                <w:szCs w:val="24"/>
              </w:rPr>
              <w:t>注：F为供应商该项得分。</w:t>
            </w:r>
            <w:r>
              <w:rPr>
                <w:rFonts w:ascii="仿宋" w:hAnsi="仿宋" w:eastAsia="仿宋" w:cs="仿宋"/>
                <w:sz w:val="24"/>
                <w:szCs w:val="24"/>
              </w:rPr>
              <w:t xml:space="preserve"> </w:t>
            </w:r>
          </w:p>
        </w:tc>
      </w:tr>
      <w:tr w14:paraId="7DD49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vMerge w:val="continue"/>
            <w:tcBorders>
              <w:right w:val="single" w:color="auto" w:sz="4" w:space="0"/>
            </w:tcBorders>
            <w:vAlign w:val="center"/>
          </w:tcPr>
          <w:p w14:paraId="15B3FAE0">
            <w:pPr>
              <w:adjustRightInd w:val="0"/>
              <w:snapToGrid w:val="0"/>
              <w:jc w:val="center"/>
              <w:rPr>
                <w:rFonts w:hint="eastAsia" w:ascii="仿宋" w:hAnsi="仿宋" w:eastAsia="仿宋" w:cs="仿宋"/>
                <w:sz w:val="24"/>
                <w:szCs w:val="24"/>
              </w:rPr>
            </w:pPr>
          </w:p>
        </w:tc>
        <w:tc>
          <w:tcPr>
            <w:tcW w:w="626" w:type="pct"/>
            <w:vMerge w:val="continue"/>
            <w:tcBorders>
              <w:top w:val="single" w:color="auto" w:sz="4" w:space="0"/>
              <w:bottom w:val="single" w:color="auto" w:sz="4" w:space="0"/>
              <w:right w:val="single" w:color="auto" w:sz="4" w:space="0"/>
            </w:tcBorders>
            <w:vAlign w:val="center"/>
          </w:tcPr>
          <w:p w14:paraId="7C478B7E">
            <w:pPr>
              <w:adjustRightInd w:val="0"/>
              <w:snapToGrid w:val="0"/>
              <w:jc w:val="center"/>
              <w:rPr>
                <w:rFonts w:hint="eastAsia" w:ascii="仿宋" w:hAnsi="仿宋" w:eastAsia="仿宋" w:cs="仿宋"/>
                <w:sz w:val="24"/>
                <w:szCs w:val="24"/>
              </w:rPr>
            </w:pPr>
          </w:p>
        </w:tc>
        <w:tc>
          <w:tcPr>
            <w:tcW w:w="1339" w:type="pct"/>
            <w:tcBorders>
              <w:top w:val="single" w:color="auto" w:sz="4" w:space="0"/>
              <w:left w:val="single" w:color="auto" w:sz="4" w:space="0"/>
              <w:bottom w:val="single" w:color="auto" w:sz="4" w:space="0"/>
              <w:right w:val="single" w:color="auto" w:sz="4" w:space="0"/>
            </w:tcBorders>
            <w:vAlign w:val="center"/>
          </w:tcPr>
          <w:p w14:paraId="39534505">
            <w:pPr>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维修方案（20分）</w:t>
            </w:r>
          </w:p>
        </w:tc>
        <w:tc>
          <w:tcPr>
            <w:tcW w:w="2621" w:type="pct"/>
            <w:tcBorders>
              <w:top w:val="single" w:color="auto" w:sz="4" w:space="0"/>
              <w:left w:val="single" w:color="auto" w:sz="4" w:space="0"/>
              <w:bottom w:val="single" w:color="auto" w:sz="4" w:space="0"/>
              <w:right w:val="single" w:color="auto" w:sz="4" w:space="0"/>
            </w:tcBorders>
            <w:vAlign w:val="center"/>
          </w:tcPr>
          <w:p w14:paraId="1C95E14E">
            <w:pPr>
              <w:adjustRightInd w:val="0"/>
              <w:snapToGrid w:val="0"/>
              <w:rPr>
                <w:rFonts w:hint="eastAsia" w:ascii="仿宋" w:hAnsi="仿宋" w:eastAsia="仿宋" w:cs="仿宋"/>
                <w:sz w:val="24"/>
                <w:szCs w:val="24"/>
              </w:rPr>
            </w:pPr>
            <w:r>
              <w:rPr>
                <w:rFonts w:hint="eastAsia" w:ascii="仿宋" w:hAnsi="仿宋" w:eastAsia="仿宋" w:cs="仿宋"/>
                <w:sz w:val="24"/>
                <w:szCs w:val="24"/>
              </w:rPr>
              <w:t>评审小组根据采购文件要求及供应商提供的维修方案进行综合评分，方案周密详尽，人员配置完善、合理，保障措施完整详细，可行性、实用性、针对性较强，优于本项目采购需求：整体情况优秀的得15＜F≤20分, 整体情况较好的得5＜F≤15分, 整体情况一般的得0＜F≤5分；若响应文件中未提供相应评审内容，则本项得0分。</w:t>
            </w:r>
          </w:p>
          <w:p w14:paraId="7FE813BB">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注：F为供应商该项得分。</w:t>
            </w:r>
          </w:p>
        </w:tc>
      </w:tr>
      <w:tr w14:paraId="717F2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414" w:type="pct"/>
            <w:vMerge w:val="continue"/>
            <w:tcBorders>
              <w:right w:val="single" w:color="auto" w:sz="4" w:space="0"/>
            </w:tcBorders>
            <w:vAlign w:val="center"/>
          </w:tcPr>
          <w:p w14:paraId="2447E2D3">
            <w:pPr>
              <w:adjustRightInd w:val="0"/>
              <w:snapToGrid w:val="0"/>
              <w:jc w:val="center"/>
              <w:rPr>
                <w:rFonts w:hint="eastAsia" w:ascii="仿宋" w:hAnsi="仿宋" w:eastAsia="仿宋" w:cs="仿宋"/>
                <w:sz w:val="24"/>
                <w:szCs w:val="24"/>
              </w:rPr>
            </w:pPr>
          </w:p>
        </w:tc>
        <w:tc>
          <w:tcPr>
            <w:tcW w:w="626" w:type="pct"/>
            <w:vMerge w:val="continue"/>
            <w:tcBorders>
              <w:top w:val="single" w:color="auto" w:sz="4" w:space="0"/>
              <w:bottom w:val="single" w:color="auto" w:sz="4" w:space="0"/>
              <w:right w:val="single" w:color="auto" w:sz="4" w:space="0"/>
            </w:tcBorders>
            <w:vAlign w:val="center"/>
          </w:tcPr>
          <w:p w14:paraId="59ACD668">
            <w:pPr>
              <w:adjustRightInd w:val="0"/>
              <w:snapToGrid w:val="0"/>
              <w:jc w:val="center"/>
              <w:rPr>
                <w:rFonts w:hint="eastAsia" w:ascii="仿宋" w:hAnsi="仿宋" w:eastAsia="仿宋" w:cs="仿宋"/>
                <w:sz w:val="24"/>
                <w:szCs w:val="24"/>
              </w:rPr>
            </w:pPr>
          </w:p>
        </w:tc>
        <w:tc>
          <w:tcPr>
            <w:tcW w:w="1339" w:type="pct"/>
            <w:tcBorders>
              <w:top w:val="single" w:color="auto" w:sz="4" w:space="0"/>
              <w:left w:val="single" w:color="auto" w:sz="4" w:space="0"/>
              <w:right w:val="single" w:color="auto" w:sz="4" w:space="0"/>
            </w:tcBorders>
            <w:vAlign w:val="center"/>
          </w:tcPr>
          <w:p w14:paraId="5CE8FFA6">
            <w:pPr>
              <w:spacing w:before="100" w:beforeAutospacing="1" w:after="100" w:afterAutospacing="1"/>
              <w:jc w:val="center"/>
              <w:rPr>
                <w:rFonts w:hint="eastAsia" w:ascii="仿宋" w:hAnsi="仿宋" w:eastAsia="仿宋" w:cs="仿宋"/>
                <w:sz w:val="24"/>
                <w:szCs w:val="24"/>
              </w:rPr>
            </w:pPr>
            <w:r>
              <w:rPr>
                <w:rFonts w:hint="eastAsia" w:ascii="仿宋" w:hAnsi="仿宋" w:eastAsia="仿宋" w:cs="仿宋"/>
                <w:sz w:val="24"/>
                <w:szCs w:val="24"/>
              </w:rPr>
              <w:t>优惠承诺及增值服务（10分）</w:t>
            </w:r>
          </w:p>
        </w:tc>
        <w:tc>
          <w:tcPr>
            <w:tcW w:w="2621" w:type="pct"/>
            <w:tcBorders>
              <w:top w:val="single" w:color="auto" w:sz="4" w:space="0"/>
              <w:left w:val="single" w:color="auto" w:sz="4" w:space="0"/>
              <w:right w:val="single" w:color="auto" w:sz="4" w:space="0"/>
            </w:tcBorders>
            <w:vAlign w:val="center"/>
          </w:tcPr>
          <w:p w14:paraId="03DA9FE2">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评审小组根据供应商提供的优惠承诺及增值服务对于采购人的实际经济效益进行评审，有具体优惠条件及增值服务，且优惠条件及增值服务实用性强，实际价值高：整体情况优秀的得6＜F≤10分, 整体情况较好的得3＜F≤6分, 整体情况一般的得0＜F≤3分；若响应文件中未提供相应评审内容，则本项得0分。</w:t>
            </w:r>
          </w:p>
          <w:p w14:paraId="720642DB">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注：F为供应商该项得分。</w:t>
            </w:r>
          </w:p>
        </w:tc>
      </w:tr>
      <w:tr w14:paraId="581C7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14" w:type="pct"/>
            <w:tcBorders>
              <w:top w:val="single" w:color="auto" w:sz="4" w:space="0"/>
              <w:left w:val="single" w:color="auto" w:sz="4" w:space="0"/>
              <w:bottom w:val="single" w:color="auto" w:sz="4" w:space="0"/>
              <w:right w:val="single" w:color="auto" w:sz="4" w:space="0"/>
            </w:tcBorders>
            <w:vAlign w:val="center"/>
          </w:tcPr>
          <w:p w14:paraId="2A3FC1F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3（3）</w:t>
            </w:r>
          </w:p>
        </w:tc>
        <w:tc>
          <w:tcPr>
            <w:tcW w:w="626" w:type="pct"/>
            <w:tcBorders>
              <w:top w:val="single" w:color="auto" w:sz="4" w:space="0"/>
              <w:left w:val="single" w:color="auto" w:sz="4" w:space="0"/>
              <w:bottom w:val="single" w:color="auto" w:sz="4" w:space="0"/>
              <w:right w:val="single" w:color="auto" w:sz="4" w:space="0"/>
            </w:tcBorders>
            <w:vAlign w:val="center"/>
          </w:tcPr>
          <w:p w14:paraId="79A9646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报价评分标准（30分）</w:t>
            </w:r>
          </w:p>
        </w:tc>
        <w:tc>
          <w:tcPr>
            <w:tcW w:w="3960" w:type="pct"/>
            <w:gridSpan w:val="2"/>
            <w:tcBorders>
              <w:top w:val="single" w:color="auto" w:sz="4" w:space="0"/>
              <w:left w:val="single" w:color="auto" w:sz="4" w:space="0"/>
              <w:bottom w:val="single" w:color="auto" w:sz="4" w:space="0"/>
              <w:right w:val="single" w:color="auto" w:sz="4" w:space="0"/>
            </w:tcBorders>
            <w:vAlign w:val="center"/>
          </w:tcPr>
          <w:p w14:paraId="4364DE08">
            <w:pPr>
              <w:spacing w:line="380" w:lineRule="atLeast"/>
              <w:ind w:firstLine="480" w:firstLineChars="200"/>
              <w:rPr>
                <w:rFonts w:hint="eastAsia" w:ascii="仿宋" w:hAnsi="仿宋" w:eastAsia="仿宋" w:cs="仿宋"/>
                <w:bCs/>
                <w:sz w:val="24"/>
                <w:szCs w:val="24"/>
              </w:rPr>
            </w:pPr>
            <w:r>
              <w:rPr>
                <w:rFonts w:ascii="宋体" w:hAnsi="宋体" w:eastAsia="仿宋"/>
                <w:bCs/>
                <w:sz w:val="24"/>
              </w:rPr>
              <w:sym w:font="Wingdings" w:char="00A8"/>
            </w:r>
            <w:r>
              <w:rPr>
                <w:rFonts w:hint="eastAsia" w:ascii="仿宋" w:hAnsi="仿宋" w:eastAsia="仿宋" w:cs="仿宋"/>
                <w:bCs/>
                <w:sz w:val="24"/>
                <w:szCs w:val="24"/>
              </w:rPr>
              <w:t>方法一：偏差率=（供应商评审价格</w:t>
            </w:r>
            <w:r>
              <w:rPr>
                <w:rFonts w:hint="eastAsia" w:ascii="MS Gothic" w:hAnsi="MS Gothic" w:eastAsia="MS Gothic" w:cs="MS Gothic"/>
                <w:bCs/>
                <w:sz w:val="24"/>
                <w:szCs w:val="24"/>
              </w:rPr>
              <w:t>−</w:t>
            </w:r>
            <w:r>
              <w:rPr>
                <w:rFonts w:hint="eastAsia" w:ascii="仿宋" w:hAnsi="仿宋" w:eastAsia="仿宋" w:cs="仿宋"/>
                <w:bCs/>
                <w:sz w:val="24"/>
                <w:szCs w:val="24"/>
              </w:rPr>
              <w:t xml:space="preserve">评审基准价）/评审基准价×100% </w:t>
            </w:r>
          </w:p>
          <w:p w14:paraId="5760C84E">
            <w:pPr>
              <w:spacing w:line="380" w:lineRule="atLeast"/>
              <w:ind w:firstLine="480" w:firstLineChars="200"/>
              <w:rPr>
                <w:rFonts w:hint="eastAsia" w:ascii="仿宋" w:hAnsi="仿宋" w:eastAsia="仿宋" w:cs="仿宋"/>
                <w:bCs/>
                <w:sz w:val="24"/>
                <w:szCs w:val="24"/>
              </w:rPr>
            </w:pPr>
            <w:r>
              <w:rPr>
                <w:rFonts w:hint="eastAsia" w:ascii="仿宋" w:hAnsi="仿宋" w:eastAsia="仿宋" w:cs="仿宋"/>
                <w:bCs/>
                <w:sz w:val="24"/>
                <w:szCs w:val="24"/>
              </w:rPr>
              <w:t>① 如果供应商的评审价格&gt;评审基准价，则报价得分＝F－偏差率×100× E</w:t>
            </w:r>
            <w:r>
              <w:rPr>
                <w:rFonts w:hint="eastAsia" w:ascii="仿宋" w:hAnsi="仿宋" w:eastAsia="仿宋" w:cs="仿宋"/>
                <w:bCs/>
                <w:sz w:val="24"/>
                <w:szCs w:val="24"/>
                <w:vertAlign w:val="subscript"/>
              </w:rPr>
              <w:t>1</w:t>
            </w:r>
            <w:r>
              <w:rPr>
                <w:rFonts w:hint="eastAsia" w:ascii="仿宋" w:hAnsi="仿宋" w:eastAsia="仿宋" w:cs="仿宋"/>
                <w:bCs/>
                <w:sz w:val="24"/>
                <w:szCs w:val="24"/>
              </w:rPr>
              <w:t>；</w:t>
            </w:r>
          </w:p>
          <w:p w14:paraId="69B6D00D">
            <w:pPr>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② 如果供应商的评审价格≤评审基准价，则报价得分＝F＋偏差率× 100× E</w:t>
            </w:r>
            <w:r>
              <w:rPr>
                <w:rFonts w:hint="eastAsia" w:ascii="仿宋" w:hAnsi="仿宋" w:eastAsia="仿宋" w:cs="仿宋"/>
                <w:bCs/>
                <w:sz w:val="24"/>
                <w:szCs w:val="24"/>
                <w:vertAlign w:val="subscript"/>
              </w:rPr>
              <w:t>2</w:t>
            </w:r>
            <w:r>
              <w:rPr>
                <w:rFonts w:hint="eastAsia" w:ascii="仿宋" w:hAnsi="仿宋" w:eastAsia="仿宋" w:cs="仿宋"/>
                <w:bCs/>
                <w:sz w:val="24"/>
                <w:szCs w:val="24"/>
              </w:rPr>
              <w:t>。</w:t>
            </w:r>
          </w:p>
          <w:p w14:paraId="145E9AB1">
            <w:pPr>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其中F为报价所占的分值；E</w:t>
            </w:r>
            <w:r>
              <w:rPr>
                <w:rFonts w:hint="eastAsia" w:ascii="仿宋" w:hAnsi="仿宋" w:eastAsia="仿宋" w:cs="仿宋"/>
                <w:bCs/>
                <w:sz w:val="24"/>
                <w:szCs w:val="24"/>
                <w:vertAlign w:val="subscript"/>
              </w:rPr>
              <w:t>1</w:t>
            </w:r>
            <w:r>
              <w:rPr>
                <w:rFonts w:hint="eastAsia" w:ascii="仿宋" w:hAnsi="仿宋" w:eastAsia="仿宋" w:cs="仿宋"/>
                <w:bCs/>
                <w:sz w:val="24"/>
                <w:szCs w:val="24"/>
              </w:rPr>
              <w:t>是评审价格每高于评审基准价一个百分点的扣分值、E</w:t>
            </w:r>
            <w:r>
              <w:rPr>
                <w:rFonts w:hint="eastAsia" w:ascii="仿宋" w:hAnsi="仿宋" w:eastAsia="仿宋" w:cs="仿宋"/>
                <w:bCs/>
                <w:sz w:val="24"/>
                <w:szCs w:val="24"/>
                <w:vertAlign w:val="subscript"/>
              </w:rPr>
              <w:t>2</w:t>
            </w:r>
            <w:r>
              <w:rPr>
                <w:rFonts w:hint="eastAsia" w:ascii="仿宋" w:hAnsi="仿宋" w:eastAsia="仿宋" w:cs="仿宋"/>
                <w:bCs/>
                <w:sz w:val="24"/>
                <w:szCs w:val="24"/>
              </w:rPr>
              <w:t>是评审价格每低于评审基准价一个百分点的扣分值，E</w:t>
            </w:r>
            <w:r>
              <w:rPr>
                <w:rFonts w:hint="eastAsia" w:ascii="仿宋" w:hAnsi="仿宋" w:eastAsia="仿宋" w:cs="仿宋"/>
                <w:bCs/>
                <w:sz w:val="24"/>
                <w:szCs w:val="24"/>
                <w:vertAlign w:val="subscript"/>
              </w:rPr>
              <w:t>1</w:t>
            </w:r>
            <w:r>
              <w:rPr>
                <w:rFonts w:hint="eastAsia" w:ascii="仿宋" w:hAnsi="仿宋" w:eastAsia="仿宋" w:cs="仿宋"/>
                <w:bCs/>
                <w:sz w:val="24"/>
                <w:szCs w:val="24"/>
              </w:rPr>
              <w:t>可大于或等于E</w:t>
            </w:r>
            <w:r>
              <w:rPr>
                <w:rFonts w:hint="eastAsia" w:ascii="仿宋" w:hAnsi="仿宋" w:eastAsia="仿宋" w:cs="仿宋"/>
                <w:bCs/>
                <w:sz w:val="24"/>
                <w:szCs w:val="24"/>
                <w:vertAlign w:val="subscript"/>
              </w:rPr>
              <w:t>2</w:t>
            </w:r>
            <w:r>
              <w:rPr>
                <w:rFonts w:hint="eastAsia" w:ascii="仿宋" w:hAnsi="仿宋" w:eastAsia="仿宋" w:cs="仿宋"/>
                <w:bCs/>
                <w:sz w:val="24"/>
                <w:szCs w:val="24"/>
              </w:rPr>
              <w:t>。E</w:t>
            </w:r>
            <w:r>
              <w:rPr>
                <w:rFonts w:hint="eastAsia" w:ascii="仿宋" w:hAnsi="仿宋" w:eastAsia="仿宋" w:cs="仿宋"/>
                <w:bCs/>
                <w:sz w:val="24"/>
                <w:szCs w:val="24"/>
                <w:vertAlign w:val="subscript"/>
              </w:rPr>
              <w:t>1</w:t>
            </w:r>
            <w:r>
              <w:rPr>
                <w:rFonts w:hint="eastAsia" w:ascii="仿宋" w:hAnsi="仿宋" w:eastAsia="仿宋" w:cs="仿宋"/>
                <w:bCs/>
                <w:sz w:val="24"/>
                <w:szCs w:val="24"/>
              </w:rPr>
              <w:t>=1；E</w:t>
            </w:r>
            <w:r>
              <w:rPr>
                <w:rFonts w:hint="eastAsia" w:ascii="仿宋" w:hAnsi="仿宋" w:eastAsia="仿宋" w:cs="仿宋"/>
                <w:bCs/>
                <w:sz w:val="24"/>
                <w:szCs w:val="24"/>
                <w:vertAlign w:val="subscript"/>
              </w:rPr>
              <w:t>2</w:t>
            </w:r>
            <w:r>
              <w:rPr>
                <w:rFonts w:hint="eastAsia" w:ascii="仿宋" w:hAnsi="仿宋" w:eastAsia="仿宋" w:cs="仿宋"/>
                <w:bCs/>
                <w:sz w:val="24"/>
                <w:szCs w:val="24"/>
              </w:rPr>
              <w:t>=0.5。</w:t>
            </w:r>
          </w:p>
          <w:p w14:paraId="21B0BCDA">
            <w:pPr>
              <w:spacing w:line="400" w:lineRule="exact"/>
              <w:ind w:firstLine="482" w:firstLineChars="200"/>
              <w:jc w:val="left"/>
              <w:rPr>
                <w:rFonts w:hint="eastAsia" w:ascii="仿宋" w:hAnsi="仿宋" w:eastAsia="仿宋" w:cs="仿宋"/>
                <w:b/>
                <w:bCs/>
                <w:sz w:val="24"/>
                <w:szCs w:val="24"/>
              </w:rPr>
            </w:pPr>
            <w:r>
              <w:rPr>
                <w:rFonts w:ascii="仿宋" w:hAnsi="仿宋" w:eastAsia="仿宋" w:cs="仿宋"/>
                <w:b/>
                <w:bCs/>
                <w:sz w:val="24"/>
                <w:szCs w:val="24"/>
              </w:rPr>
              <w:sym w:font="Wingdings 2" w:char="0052"/>
            </w:r>
            <w:r>
              <w:rPr>
                <w:rFonts w:hint="eastAsia" w:ascii="仿宋" w:hAnsi="仿宋" w:eastAsia="仿宋" w:cs="仿宋"/>
                <w:b/>
                <w:bCs/>
                <w:sz w:val="24"/>
                <w:szCs w:val="24"/>
              </w:rPr>
              <w:t>方法二：报价得分=（通过初步评审的所有供应商的最低评审价格／供应商评审价格）×F，F为报价所占的分值。</w:t>
            </w:r>
          </w:p>
        </w:tc>
      </w:tr>
      <w:tr w14:paraId="5CCA9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 w:type="pct"/>
            <w:tcBorders>
              <w:top w:val="single" w:color="auto" w:sz="4" w:space="0"/>
              <w:left w:val="single" w:color="auto" w:sz="4" w:space="0"/>
              <w:bottom w:val="single" w:color="auto" w:sz="4" w:space="0"/>
              <w:right w:val="single" w:color="auto" w:sz="4" w:space="0"/>
            </w:tcBorders>
          </w:tcPr>
          <w:p w14:paraId="06AE390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3（4）</w:t>
            </w:r>
          </w:p>
        </w:tc>
        <w:tc>
          <w:tcPr>
            <w:tcW w:w="626" w:type="pct"/>
            <w:tcBorders>
              <w:top w:val="single" w:color="auto" w:sz="4" w:space="0"/>
              <w:left w:val="single" w:color="auto" w:sz="4" w:space="0"/>
              <w:bottom w:val="single" w:color="auto" w:sz="4" w:space="0"/>
              <w:right w:val="single" w:color="auto" w:sz="4" w:space="0"/>
            </w:tcBorders>
          </w:tcPr>
          <w:p w14:paraId="044AF83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其他因素评分标准</w:t>
            </w:r>
          </w:p>
        </w:tc>
        <w:tc>
          <w:tcPr>
            <w:tcW w:w="1339" w:type="pct"/>
            <w:tcBorders>
              <w:top w:val="single" w:color="auto" w:sz="4" w:space="0"/>
              <w:left w:val="single" w:color="auto" w:sz="4" w:space="0"/>
              <w:bottom w:val="single" w:color="auto" w:sz="4" w:space="0"/>
              <w:right w:val="single" w:color="auto" w:sz="4" w:space="0"/>
            </w:tcBorders>
            <w:vAlign w:val="center"/>
          </w:tcPr>
          <w:p w14:paraId="2D68344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w:t>
            </w:r>
          </w:p>
        </w:tc>
        <w:tc>
          <w:tcPr>
            <w:tcW w:w="2621" w:type="pct"/>
            <w:tcBorders>
              <w:top w:val="single" w:color="auto" w:sz="4" w:space="0"/>
              <w:left w:val="single" w:color="auto" w:sz="4" w:space="0"/>
              <w:bottom w:val="single" w:color="auto" w:sz="4" w:space="0"/>
              <w:right w:val="single" w:color="auto" w:sz="4" w:space="0"/>
            </w:tcBorders>
            <w:vAlign w:val="center"/>
          </w:tcPr>
          <w:p w14:paraId="71A6AC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w:t>
            </w:r>
          </w:p>
        </w:tc>
      </w:tr>
      <w:tr w14:paraId="2285A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0" w:type="pct"/>
            <w:gridSpan w:val="2"/>
            <w:tcBorders>
              <w:top w:val="single" w:color="auto" w:sz="4" w:space="0"/>
              <w:left w:val="single" w:color="auto" w:sz="4" w:space="0"/>
              <w:bottom w:val="single" w:color="auto" w:sz="4" w:space="0"/>
              <w:right w:val="single" w:color="auto" w:sz="4" w:space="0"/>
            </w:tcBorders>
            <w:vAlign w:val="center"/>
          </w:tcPr>
          <w:p w14:paraId="6A5F377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3. 6</w:t>
            </w:r>
          </w:p>
        </w:tc>
        <w:tc>
          <w:tcPr>
            <w:tcW w:w="1339" w:type="pct"/>
            <w:tcBorders>
              <w:top w:val="single" w:color="auto" w:sz="4" w:space="0"/>
              <w:left w:val="single" w:color="auto" w:sz="4" w:space="0"/>
              <w:bottom w:val="single" w:color="auto" w:sz="4" w:space="0"/>
              <w:right w:val="single" w:color="auto" w:sz="4" w:space="0"/>
            </w:tcBorders>
            <w:vAlign w:val="center"/>
          </w:tcPr>
          <w:p w14:paraId="1605109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供应商并列时确定供应商优先顺序的规则</w:t>
            </w:r>
          </w:p>
        </w:tc>
        <w:tc>
          <w:tcPr>
            <w:tcW w:w="2621" w:type="pct"/>
            <w:tcBorders>
              <w:top w:val="single" w:color="auto" w:sz="4" w:space="0"/>
              <w:left w:val="single" w:color="auto" w:sz="4" w:space="0"/>
              <w:bottom w:val="single" w:color="auto" w:sz="4" w:space="0"/>
              <w:right w:val="single" w:color="auto" w:sz="4" w:space="0"/>
            </w:tcBorders>
            <w:vAlign w:val="center"/>
          </w:tcPr>
          <w:p w14:paraId="38F0855D">
            <w:pPr>
              <w:adjustRightInd w:val="0"/>
              <w:snapToGrid w:val="0"/>
              <w:jc w:val="left"/>
              <w:rPr>
                <w:rFonts w:hint="eastAsia" w:ascii="仿宋" w:hAnsi="仿宋" w:eastAsia="仿宋" w:cs="仿宋"/>
                <w:sz w:val="24"/>
                <w:szCs w:val="24"/>
              </w:rPr>
            </w:pPr>
            <w:r>
              <w:rPr>
                <w:rFonts w:ascii="宋体" w:hAnsi="宋体" w:eastAsia="仿宋"/>
                <w:bCs/>
                <w:sz w:val="24"/>
              </w:rPr>
              <w:sym w:font="Wingdings" w:char="F0FE"/>
            </w:r>
            <w:r>
              <w:rPr>
                <w:rFonts w:hint="eastAsia" w:ascii="仿宋" w:hAnsi="仿宋" w:eastAsia="仿宋" w:cs="仿宋"/>
                <w:sz w:val="24"/>
                <w:szCs w:val="24"/>
              </w:rPr>
              <w:t>由评审小组投票决定</w:t>
            </w:r>
          </w:p>
          <w:p w14:paraId="1DF68039">
            <w:pPr>
              <w:adjustRightInd w:val="0"/>
              <w:snapToGrid w:val="0"/>
              <w:jc w:val="left"/>
              <w:rPr>
                <w:rFonts w:hint="eastAsia" w:ascii="仿宋" w:hAnsi="仿宋" w:eastAsia="仿宋" w:cs="仿宋"/>
                <w:sz w:val="24"/>
                <w:szCs w:val="24"/>
              </w:rPr>
            </w:pPr>
            <w:r>
              <w:rPr>
                <w:rFonts w:ascii="仿宋" w:hAnsi="仿宋" w:eastAsia="仿宋" w:cs="仿宋"/>
                <w:sz w:val="24"/>
                <w:szCs w:val="24"/>
              </w:rPr>
              <w:sym w:font="Wingdings 2" w:char="F0A3"/>
            </w:r>
            <w:r>
              <w:rPr>
                <w:rFonts w:hint="eastAsia" w:ascii="仿宋" w:hAnsi="仿宋" w:eastAsia="仿宋" w:cs="仿宋"/>
                <w:sz w:val="24"/>
                <w:szCs w:val="24"/>
              </w:rPr>
              <w:t>由评审小组抽签决定</w:t>
            </w:r>
          </w:p>
          <w:p w14:paraId="0EC56114">
            <w:pPr>
              <w:adjustRightInd w:val="0"/>
              <w:snapToGrid w:val="0"/>
              <w:jc w:val="left"/>
              <w:rPr>
                <w:rFonts w:hint="eastAsia" w:ascii="仿宋" w:hAnsi="仿宋" w:eastAsia="仿宋" w:cs="仿宋"/>
                <w:sz w:val="24"/>
                <w:szCs w:val="24"/>
              </w:rPr>
            </w:pPr>
            <w:r>
              <w:rPr>
                <w:rFonts w:ascii="仿宋" w:hAnsi="仿宋" w:eastAsia="仿宋" w:cs="仿宋"/>
                <w:sz w:val="24"/>
                <w:szCs w:val="24"/>
              </w:rPr>
              <w:sym w:font="Wingdings 2" w:char="F0A3"/>
            </w:r>
            <w:r>
              <w:rPr>
                <w:rFonts w:hint="eastAsia" w:ascii="仿宋" w:hAnsi="仿宋" w:eastAsia="仿宋" w:cs="仿宋"/>
                <w:sz w:val="24"/>
                <w:szCs w:val="24"/>
              </w:rPr>
              <w:t>其他方法：</w:t>
            </w:r>
            <w:r>
              <w:rPr>
                <w:rFonts w:hint="eastAsia" w:ascii="仿宋" w:hAnsi="仿宋" w:eastAsia="仿宋" w:cs="仿宋"/>
                <w:sz w:val="24"/>
                <w:szCs w:val="24"/>
                <w:u w:val="single"/>
              </w:rPr>
              <w:t xml:space="preserve">                           </w:t>
            </w:r>
          </w:p>
        </w:tc>
      </w:tr>
    </w:tbl>
    <w:p w14:paraId="2A0836D1">
      <w:pPr>
        <w:pStyle w:val="3"/>
        <w:keepNext w:val="0"/>
        <w:keepLines w:val="0"/>
        <w:pageBreakBefore/>
        <w:spacing w:line="413" w:lineRule="auto"/>
        <w:rPr>
          <w:rFonts w:hint="eastAsia" w:ascii="仿宋" w:hAnsi="仿宋" w:eastAsia="仿宋" w:cs="仿宋"/>
        </w:rPr>
      </w:pPr>
      <w:bookmarkStart w:id="318" w:name="_Toc11369"/>
      <w:r>
        <w:rPr>
          <w:rFonts w:hint="eastAsia" w:ascii="仿宋" w:hAnsi="仿宋" w:eastAsia="仿宋" w:cs="仿宋"/>
        </w:rPr>
        <w:t>1. 评审方法</w:t>
      </w:r>
      <w:bookmarkEnd w:id="318"/>
    </w:p>
    <w:p w14:paraId="061C722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本次评审采用综合评分法。评审小组对满足采购文件实质性要求的响应文件，按照本章第3条规定的评分标准进行打分，并按得分由高到低顺序推荐候选成交供应商。</w:t>
      </w:r>
    </w:p>
    <w:p w14:paraId="16FB3635">
      <w:pPr>
        <w:pStyle w:val="3"/>
        <w:rPr>
          <w:rFonts w:hint="eastAsia" w:ascii="仿宋" w:hAnsi="仿宋" w:eastAsia="仿宋" w:cs="仿宋"/>
        </w:rPr>
      </w:pPr>
      <w:bookmarkStart w:id="319" w:name="_Toc4338"/>
      <w:r>
        <w:rPr>
          <w:rFonts w:hint="eastAsia" w:ascii="仿宋" w:hAnsi="仿宋" w:eastAsia="仿宋" w:cs="仿宋"/>
        </w:rPr>
        <w:t>2. 初步评审标准和程序</w:t>
      </w:r>
      <w:bookmarkEnd w:id="319"/>
    </w:p>
    <w:p w14:paraId="09A9101E">
      <w:pPr>
        <w:pStyle w:val="4"/>
        <w:spacing w:line="240" w:lineRule="auto"/>
        <w:ind w:firstLine="137"/>
        <w:rPr>
          <w:rFonts w:hint="eastAsia" w:ascii="仿宋" w:hAnsi="仿宋" w:eastAsia="仿宋" w:cs="仿宋"/>
        </w:rPr>
      </w:pPr>
      <w:bookmarkStart w:id="320" w:name="_Toc14832"/>
      <w:bookmarkStart w:id="321" w:name="_Toc196323436"/>
      <w:r>
        <w:rPr>
          <w:rFonts w:hint="eastAsia" w:ascii="仿宋" w:hAnsi="仿宋" w:eastAsia="仿宋" w:cs="仿宋"/>
        </w:rPr>
        <w:t>2.1 初步评审标准</w:t>
      </w:r>
      <w:bookmarkEnd w:id="320"/>
      <w:bookmarkEnd w:id="321"/>
    </w:p>
    <w:p w14:paraId="340716D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 形式评审标准：见</w:t>
      </w:r>
      <w:r>
        <w:rPr>
          <w:rFonts w:hint="eastAsia" w:ascii="仿宋" w:hAnsi="仿宋" w:eastAsia="仿宋" w:cs="仿宋"/>
          <w:iCs/>
          <w:sz w:val="24"/>
          <w:szCs w:val="24"/>
        </w:rPr>
        <w:t>评审办法前附表</w:t>
      </w:r>
      <w:r>
        <w:rPr>
          <w:rFonts w:hint="eastAsia" w:ascii="仿宋" w:hAnsi="仿宋" w:eastAsia="仿宋" w:cs="仿宋"/>
          <w:sz w:val="24"/>
          <w:szCs w:val="24"/>
        </w:rPr>
        <w:t>。</w:t>
      </w:r>
    </w:p>
    <w:p w14:paraId="3D3C2F2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2.1.2 资格评审标准：见</w:t>
      </w:r>
      <w:r>
        <w:rPr>
          <w:rFonts w:hint="eastAsia" w:ascii="仿宋" w:hAnsi="仿宋" w:eastAsia="仿宋" w:cs="仿宋"/>
          <w:iCs/>
          <w:sz w:val="24"/>
          <w:szCs w:val="24"/>
        </w:rPr>
        <w:t>评审办法前附表</w:t>
      </w:r>
      <w:r>
        <w:rPr>
          <w:rFonts w:hint="eastAsia" w:ascii="仿宋" w:hAnsi="仿宋" w:eastAsia="仿宋" w:cs="仿宋"/>
          <w:sz w:val="24"/>
          <w:szCs w:val="24"/>
        </w:rPr>
        <w:t>。</w:t>
      </w:r>
    </w:p>
    <w:p w14:paraId="0411C00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 响应性评审标准：见</w:t>
      </w:r>
      <w:r>
        <w:rPr>
          <w:rFonts w:hint="eastAsia" w:ascii="仿宋" w:hAnsi="仿宋" w:eastAsia="仿宋" w:cs="仿宋"/>
          <w:iCs/>
          <w:sz w:val="24"/>
          <w:szCs w:val="24"/>
        </w:rPr>
        <w:t>评审办法前附表</w:t>
      </w:r>
      <w:r>
        <w:rPr>
          <w:rFonts w:hint="eastAsia" w:ascii="仿宋" w:hAnsi="仿宋" w:eastAsia="仿宋" w:cs="仿宋"/>
          <w:sz w:val="24"/>
          <w:szCs w:val="24"/>
        </w:rPr>
        <w:t>。</w:t>
      </w:r>
    </w:p>
    <w:p w14:paraId="65BBDEAE">
      <w:pPr>
        <w:pStyle w:val="4"/>
        <w:spacing w:line="240" w:lineRule="auto"/>
        <w:ind w:firstLine="137"/>
        <w:rPr>
          <w:rFonts w:hint="eastAsia" w:ascii="仿宋" w:hAnsi="仿宋" w:eastAsia="仿宋" w:cs="仿宋"/>
        </w:rPr>
      </w:pPr>
      <w:bookmarkStart w:id="322" w:name="_Toc196323437"/>
      <w:bookmarkStart w:id="323" w:name="_Toc25692"/>
      <w:r>
        <w:rPr>
          <w:rFonts w:hint="eastAsia" w:ascii="仿宋" w:hAnsi="仿宋" w:eastAsia="仿宋" w:cs="仿宋"/>
        </w:rPr>
        <w:t>2.2 初步评审程序</w:t>
      </w:r>
      <w:bookmarkEnd w:id="322"/>
      <w:bookmarkEnd w:id="323"/>
    </w:p>
    <w:p w14:paraId="78F44FB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2.2.1 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5EC78BA6">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2.2.2 除评审办法前附表另有规定外，评审价格为供应商在响应函中填报的大写含税价格。</w:t>
      </w:r>
    </w:p>
    <w:p w14:paraId="542F920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评审价格若超过最高限价（如有），其响应文件将被视为无效。</w:t>
      </w:r>
    </w:p>
    <w:p w14:paraId="1ED82D2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3A65DC1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6B7A107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响应文件有算术错误及其他错误的，评审小组按以下原则要求供应商对响应报价进行修正，并要求供应商书面澄清确认。供应商拒不澄清确认的，其响应文件将被视为无效：</w:t>
      </w:r>
    </w:p>
    <w:p w14:paraId="4C2D88F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（1）大写金额与小写金额不一致的，以大写金额为准；</w:t>
      </w:r>
    </w:p>
    <w:p w14:paraId="1A7214D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（2）总价金额与单价金额不一致的以单价金额为准，但单价金额小数点有明显错误的除外；</w:t>
      </w:r>
    </w:p>
    <w:p w14:paraId="344BF5F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（3）报价表合计报价与分项报价的合计不一致的，以各分项报价的合计累计数为准；</w:t>
      </w:r>
    </w:p>
    <w:p w14:paraId="6832F20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（4）如果分项报价中存在缺漏项，且缺漏项内容不属于实质性偏差的，则视为缺漏项内容的价格已包含在其他分项报价之中。</w:t>
      </w:r>
    </w:p>
    <w:p w14:paraId="44A6288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其响应文件将被视为无效；当修正后的总报价低于原响应报价时，签订合同时以修正后的报价为准。</w:t>
      </w:r>
    </w:p>
    <w:p w14:paraId="3402D78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2.2.4供应商有串通、弄虚作假、行贿等违法行为的，其响应文件将被视为无效。</w:t>
      </w:r>
    </w:p>
    <w:p w14:paraId="7FC8293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2.2.5特殊情形处理</w:t>
      </w:r>
    </w:p>
    <w:p w14:paraId="12267DA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初步评审后，如评审小组认为所有响应文件均无效，或者所有响应报价竞争性不足，高于市场预期价格，评审小组应当终止评审，获经采购人同意，直接转换选择其他采购方式，与原供应商共同完成后续采购程序。</w:t>
      </w:r>
    </w:p>
    <w:p w14:paraId="0822D5B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选择直接转换采购方式采购的，评审小组按照本章第5条“直接转换采购方式评审程序”重新评审。除了采购人与供应商双方提出修改补充兵接受新的条件和要求外，原采购文件与原响应文件对采购人和供应商仍然具有相应约束力。</w:t>
      </w:r>
    </w:p>
    <w:p w14:paraId="5E9EC46A">
      <w:pPr>
        <w:pStyle w:val="3"/>
        <w:rPr>
          <w:rFonts w:hint="eastAsia" w:ascii="仿宋" w:hAnsi="仿宋" w:eastAsia="仿宋" w:cs="仿宋"/>
        </w:rPr>
      </w:pPr>
      <w:bookmarkStart w:id="324" w:name="_Toc14676"/>
      <w:r>
        <w:rPr>
          <w:rFonts w:hint="eastAsia" w:ascii="仿宋" w:hAnsi="仿宋" w:eastAsia="仿宋" w:cs="仿宋"/>
        </w:rPr>
        <w:t>3. 详细评审标准和程序</w:t>
      </w:r>
      <w:bookmarkEnd w:id="324"/>
    </w:p>
    <w:p w14:paraId="4C3893E1">
      <w:pPr>
        <w:pStyle w:val="4"/>
        <w:spacing w:line="240" w:lineRule="auto"/>
        <w:ind w:firstLine="137"/>
        <w:rPr>
          <w:rFonts w:hint="eastAsia" w:ascii="仿宋" w:hAnsi="仿宋" w:eastAsia="仿宋" w:cs="仿宋"/>
        </w:rPr>
      </w:pPr>
      <w:bookmarkStart w:id="325" w:name="_Toc196323439"/>
      <w:bookmarkStart w:id="326" w:name="_Toc12388"/>
      <w:r>
        <w:rPr>
          <w:rFonts w:hint="eastAsia" w:ascii="仿宋" w:hAnsi="仿宋" w:eastAsia="仿宋" w:cs="仿宋"/>
        </w:rPr>
        <w:t>3.1 分值构成</w:t>
      </w:r>
      <w:bookmarkEnd w:id="325"/>
      <w:bookmarkEnd w:id="326"/>
    </w:p>
    <w:p w14:paraId="621853A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（1）商务部分：见评审办法前附表；</w:t>
      </w:r>
    </w:p>
    <w:p w14:paraId="17DA692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（2）技术部分：见评审办法前附表；</w:t>
      </w:r>
    </w:p>
    <w:p w14:paraId="535D6B1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（3）报价：见评审办法前附表；</w:t>
      </w:r>
    </w:p>
    <w:p w14:paraId="7B669DA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（4）其他评分因素：见评审办法前附表。</w:t>
      </w:r>
    </w:p>
    <w:p w14:paraId="7CB4638D">
      <w:pPr>
        <w:pStyle w:val="4"/>
        <w:spacing w:line="240" w:lineRule="auto"/>
        <w:ind w:firstLine="137"/>
        <w:rPr>
          <w:rFonts w:hint="eastAsia" w:ascii="仿宋" w:hAnsi="仿宋" w:eastAsia="仿宋" w:cs="仿宋"/>
        </w:rPr>
      </w:pPr>
      <w:bookmarkStart w:id="327" w:name="_Toc20792"/>
      <w:bookmarkStart w:id="328" w:name="_Toc196323440"/>
      <w:r>
        <w:rPr>
          <w:rFonts w:hint="eastAsia" w:ascii="仿宋" w:hAnsi="仿宋" w:eastAsia="仿宋" w:cs="仿宋"/>
        </w:rPr>
        <w:t>3.2 评审基准价计算</w:t>
      </w:r>
      <w:bookmarkEnd w:id="327"/>
      <w:bookmarkEnd w:id="328"/>
    </w:p>
    <w:p w14:paraId="26D8F82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（1）评审价格：评审价格为按照本章第2.2.2项规定确定的价格。</w:t>
      </w:r>
    </w:p>
    <w:p w14:paraId="6C72C41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（2）评审基准价计算方法：评审基准价计算方法见评审办法前附表。</w:t>
      </w:r>
    </w:p>
    <w:p w14:paraId="1B296466">
      <w:pPr>
        <w:pStyle w:val="4"/>
        <w:spacing w:line="240" w:lineRule="auto"/>
        <w:ind w:firstLine="137"/>
        <w:rPr>
          <w:rFonts w:hint="eastAsia" w:ascii="仿宋" w:hAnsi="仿宋" w:eastAsia="仿宋" w:cs="仿宋"/>
        </w:rPr>
      </w:pPr>
      <w:bookmarkStart w:id="329" w:name="_Toc25824"/>
      <w:bookmarkStart w:id="330" w:name="_Toc196323441"/>
      <w:r>
        <w:rPr>
          <w:rFonts w:hint="eastAsia" w:ascii="仿宋" w:hAnsi="仿宋" w:eastAsia="仿宋" w:cs="仿宋"/>
        </w:rPr>
        <w:t>3.3评分标准</w:t>
      </w:r>
      <w:bookmarkEnd w:id="329"/>
      <w:bookmarkEnd w:id="330"/>
    </w:p>
    <w:p w14:paraId="3A59099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（1）商务评分标准：见</w:t>
      </w:r>
      <w:r>
        <w:rPr>
          <w:rFonts w:hint="eastAsia" w:ascii="仿宋" w:hAnsi="仿宋" w:eastAsia="仿宋" w:cs="仿宋"/>
          <w:iCs/>
          <w:sz w:val="24"/>
          <w:szCs w:val="24"/>
        </w:rPr>
        <w:t>评审办法前附表</w:t>
      </w:r>
      <w:r>
        <w:rPr>
          <w:rFonts w:hint="eastAsia" w:ascii="仿宋" w:hAnsi="仿宋" w:eastAsia="仿宋" w:cs="仿宋"/>
          <w:sz w:val="24"/>
          <w:szCs w:val="24"/>
        </w:rPr>
        <w:t>；</w:t>
      </w:r>
    </w:p>
    <w:p w14:paraId="5F990AD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（2）技术评分标准：见</w:t>
      </w:r>
      <w:r>
        <w:rPr>
          <w:rFonts w:hint="eastAsia" w:ascii="仿宋" w:hAnsi="仿宋" w:eastAsia="仿宋" w:cs="仿宋"/>
          <w:iCs/>
          <w:sz w:val="24"/>
          <w:szCs w:val="24"/>
        </w:rPr>
        <w:t>评审办法前附表</w:t>
      </w:r>
      <w:r>
        <w:rPr>
          <w:rFonts w:hint="eastAsia" w:ascii="仿宋" w:hAnsi="仿宋" w:eastAsia="仿宋" w:cs="仿宋"/>
          <w:sz w:val="24"/>
          <w:szCs w:val="24"/>
        </w:rPr>
        <w:t>；</w:t>
      </w:r>
    </w:p>
    <w:p w14:paraId="3597EF6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（3）报价评分标准：报价得分计算方法见评审办法前附表。</w:t>
      </w:r>
    </w:p>
    <w:p w14:paraId="7FAA905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（4）其他因素评分标准：见</w:t>
      </w:r>
      <w:r>
        <w:rPr>
          <w:rFonts w:hint="eastAsia" w:ascii="仿宋" w:hAnsi="仿宋" w:eastAsia="仿宋" w:cs="仿宋"/>
          <w:iCs/>
          <w:sz w:val="24"/>
          <w:szCs w:val="24"/>
        </w:rPr>
        <w:t>评审办法前附表</w:t>
      </w:r>
      <w:r>
        <w:rPr>
          <w:rFonts w:hint="eastAsia" w:ascii="仿宋" w:hAnsi="仿宋" w:eastAsia="仿宋" w:cs="仿宋"/>
          <w:sz w:val="24"/>
          <w:szCs w:val="24"/>
        </w:rPr>
        <w:t>。</w:t>
      </w:r>
    </w:p>
    <w:p w14:paraId="3713F3EB">
      <w:pPr>
        <w:pStyle w:val="4"/>
        <w:spacing w:line="240" w:lineRule="auto"/>
        <w:ind w:firstLine="137"/>
        <w:rPr>
          <w:rFonts w:hint="eastAsia" w:ascii="仿宋" w:hAnsi="仿宋" w:eastAsia="仿宋" w:cs="仿宋"/>
        </w:rPr>
      </w:pPr>
      <w:bookmarkStart w:id="331" w:name="_Toc196323442"/>
      <w:bookmarkStart w:id="332" w:name="_Toc28398"/>
      <w:r>
        <w:rPr>
          <w:rFonts w:hint="eastAsia" w:ascii="仿宋" w:hAnsi="仿宋" w:eastAsia="仿宋" w:cs="仿宋"/>
        </w:rPr>
        <w:t>3.4评分</w:t>
      </w:r>
      <w:bookmarkEnd w:id="331"/>
      <w:bookmarkEnd w:id="332"/>
    </w:p>
    <w:p w14:paraId="4D1CBAE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p>
    <w:p w14:paraId="3D1B20B8">
      <w:pPr>
        <w:pStyle w:val="4"/>
        <w:spacing w:line="240" w:lineRule="auto"/>
        <w:ind w:firstLine="137"/>
        <w:rPr>
          <w:rFonts w:hint="eastAsia" w:ascii="仿宋" w:hAnsi="仿宋" w:eastAsia="仿宋" w:cs="仿宋"/>
        </w:rPr>
      </w:pPr>
      <w:bookmarkStart w:id="333" w:name="_Toc19297"/>
      <w:bookmarkStart w:id="334" w:name="_Toc196323443"/>
      <w:r>
        <w:rPr>
          <w:rFonts w:hint="eastAsia" w:ascii="仿宋" w:hAnsi="仿宋" w:eastAsia="仿宋" w:cs="仿宋"/>
        </w:rPr>
        <w:t>3.5汇总</w:t>
      </w:r>
      <w:bookmarkEnd w:id="333"/>
      <w:bookmarkEnd w:id="334"/>
    </w:p>
    <w:p w14:paraId="3A13EF1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评审小组汇总每个成员对供应商的评分总分，每个供应商的评分总分的算术平均值为供应商最终得分。</w:t>
      </w:r>
    </w:p>
    <w:p w14:paraId="0AD83EFA">
      <w:pPr>
        <w:pStyle w:val="4"/>
        <w:spacing w:line="240" w:lineRule="auto"/>
        <w:ind w:firstLine="137"/>
        <w:rPr>
          <w:rFonts w:hint="eastAsia" w:ascii="仿宋" w:hAnsi="仿宋" w:eastAsia="仿宋" w:cs="仿宋"/>
        </w:rPr>
      </w:pPr>
      <w:bookmarkStart w:id="335" w:name="_Toc196323444"/>
      <w:bookmarkStart w:id="336" w:name="_Toc10532"/>
      <w:r>
        <w:rPr>
          <w:rFonts w:hint="eastAsia" w:ascii="仿宋" w:hAnsi="仿宋" w:eastAsia="仿宋" w:cs="仿宋"/>
        </w:rPr>
        <w:t>3.6排序</w:t>
      </w:r>
      <w:bookmarkEnd w:id="335"/>
      <w:bookmarkEnd w:id="336"/>
    </w:p>
    <w:p w14:paraId="21E33D0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对供应商最终得分进行比较后，可以按照供应商最终得分由高到低的顺序对供应商排序。最终得分相等时，以评审价格低的优先；评审价格也相等的，以技术评分得分高的优先；如果技术评分得分也相等，按照评审办法前附表的规定确定供应商优先顺序。</w:t>
      </w:r>
    </w:p>
    <w:p w14:paraId="7DC4B123">
      <w:pPr>
        <w:pStyle w:val="4"/>
        <w:spacing w:line="240" w:lineRule="auto"/>
        <w:ind w:firstLine="137"/>
        <w:rPr>
          <w:rFonts w:hint="eastAsia" w:ascii="仿宋" w:hAnsi="仿宋" w:eastAsia="仿宋" w:cs="仿宋"/>
        </w:rPr>
      </w:pPr>
      <w:bookmarkStart w:id="337" w:name="_Toc19896"/>
      <w:bookmarkStart w:id="338" w:name="_Toc196323445"/>
      <w:r>
        <w:rPr>
          <w:rFonts w:hint="eastAsia" w:ascii="仿宋" w:hAnsi="仿宋" w:eastAsia="仿宋" w:cs="仿宋"/>
        </w:rPr>
        <w:t>3.7特殊情形处理</w:t>
      </w:r>
      <w:bookmarkEnd w:id="337"/>
      <w:bookmarkEnd w:id="338"/>
    </w:p>
    <w:p w14:paraId="17945B2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当通过初步评审的供应商数量未超过询比采购文件约定的成交供应商数量、评审小组认为供应商的响应价格合理且物有所值时，不再进行详细评审，直接推荐上述供应商为候选成交供应商。</w:t>
      </w:r>
    </w:p>
    <w:p w14:paraId="3C5F6F6B">
      <w:pPr>
        <w:pStyle w:val="3"/>
        <w:rPr>
          <w:rFonts w:hint="eastAsia" w:ascii="仿宋" w:hAnsi="仿宋" w:eastAsia="仿宋" w:cs="仿宋"/>
        </w:rPr>
      </w:pPr>
      <w:bookmarkStart w:id="339" w:name="_Toc8408"/>
      <w:r>
        <w:rPr>
          <w:rFonts w:hint="eastAsia" w:ascii="仿宋" w:hAnsi="仿宋" w:eastAsia="仿宋" w:cs="仿宋"/>
        </w:rPr>
        <w:t>4. 评审结果</w:t>
      </w:r>
      <w:bookmarkEnd w:id="339"/>
    </w:p>
    <w:p w14:paraId="53EC2AC9">
      <w:pPr>
        <w:pStyle w:val="4"/>
        <w:spacing w:line="240" w:lineRule="auto"/>
        <w:ind w:firstLine="137"/>
        <w:rPr>
          <w:rFonts w:hint="eastAsia" w:ascii="仿宋" w:hAnsi="仿宋" w:eastAsia="仿宋" w:cs="仿宋"/>
        </w:rPr>
      </w:pPr>
      <w:bookmarkStart w:id="340" w:name="_Toc196323447"/>
      <w:bookmarkStart w:id="341" w:name="_Toc13712"/>
      <w:r>
        <w:rPr>
          <w:rFonts w:hint="eastAsia" w:ascii="仿宋" w:hAnsi="仿宋" w:eastAsia="仿宋" w:cs="仿宋"/>
        </w:rPr>
        <w:t>4.1 提交书面评审报告</w:t>
      </w:r>
      <w:bookmarkEnd w:id="340"/>
      <w:bookmarkEnd w:id="341"/>
    </w:p>
    <w:p w14:paraId="3E96B3E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评审小组完成评审后，应当向采购人提交书面评审报告。</w:t>
      </w:r>
    </w:p>
    <w:p w14:paraId="29FB9304">
      <w:pPr>
        <w:pStyle w:val="4"/>
        <w:spacing w:line="240" w:lineRule="auto"/>
        <w:ind w:firstLine="137"/>
        <w:rPr>
          <w:rFonts w:hint="eastAsia" w:ascii="仿宋" w:hAnsi="仿宋" w:eastAsia="仿宋" w:cs="仿宋"/>
        </w:rPr>
      </w:pPr>
      <w:bookmarkStart w:id="342" w:name="_Toc196323448"/>
      <w:bookmarkStart w:id="343" w:name="_Toc6920"/>
      <w:r>
        <w:rPr>
          <w:rFonts w:hint="eastAsia" w:ascii="仿宋" w:hAnsi="仿宋" w:eastAsia="仿宋" w:cs="仿宋"/>
        </w:rPr>
        <w:t>4.2 推荐候选成交供应商排序要求及数量</w:t>
      </w:r>
      <w:bookmarkEnd w:id="342"/>
      <w:bookmarkEnd w:id="343"/>
    </w:p>
    <w:p w14:paraId="3E90419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评审小组应在书面评审报告中按照供应商排列的优先顺序向采购人推荐有排序候选成交供应商。候选成交供应商的排序要求及数量见</w:t>
      </w:r>
      <w:r>
        <w:rPr>
          <w:rFonts w:hint="eastAsia" w:ascii="仿宋" w:hAnsi="仿宋" w:eastAsia="仿宋" w:cs="仿宋"/>
          <w:iCs/>
          <w:sz w:val="24"/>
          <w:szCs w:val="24"/>
        </w:rPr>
        <w:t>第二章“供应商须知”</w:t>
      </w:r>
      <w:r>
        <w:rPr>
          <w:rFonts w:hint="eastAsia" w:ascii="仿宋" w:hAnsi="仿宋" w:eastAsia="仿宋" w:cs="仿宋"/>
          <w:sz w:val="24"/>
          <w:szCs w:val="24"/>
        </w:rPr>
        <w:t>。</w:t>
      </w:r>
    </w:p>
    <w:p w14:paraId="09F4A567">
      <w:pPr>
        <w:pStyle w:val="3"/>
        <w:rPr>
          <w:rFonts w:hint="eastAsia" w:ascii="仿宋" w:hAnsi="仿宋" w:eastAsia="仿宋" w:cs="仿宋"/>
        </w:rPr>
      </w:pPr>
      <w:bookmarkStart w:id="344" w:name="_Toc22001"/>
      <w:r>
        <w:rPr>
          <w:rFonts w:hint="eastAsia" w:ascii="仿宋" w:hAnsi="仿宋" w:eastAsia="仿宋" w:cs="仿宋"/>
        </w:rPr>
        <w:t>5. 直接转换采购方式评审程序</w:t>
      </w:r>
      <w:bookmarkEnd w:id="344"/>
    </w:p>
    <w:p w14:paraId="40F0EF00">
      <w:pPr>
        <w:pStyle w:val="4"/>
        <w:spacing w:line="240" w:lineRule="auto"/>
        <w:ind w:firstLine="137"/>
        <w:rPr>
          <w:rFonts w:hint="eastAsia" w:ascii="仿宋" w:hAnsi="仿宋" w:eastAsia="仿宋" w:cs="仿宋"/>
        </w:rPr>
      </w:pPr>
      <w:bookmarkStart w:id="345" w:name="_Toc8373"/>
      <w:bookmarkStart w:id="346" w:name="_Toc196323450"/>
      <w:r>
        <w:rPr>
          <w:rFonts w:hint="eastAsia" w:ascii="仿宋" w:hAnsi="仿宋" w:eastAsia="仿宋" w:cs="仿宋"/>
        </w:rPr>
        <w:t>5.1 初步评审</w:t>
      </w:r>
      <w:bookmarkEnd w:id="345"/>
      <w:bookmarkEnd w:id="346"/>
    </w:p>
    <w:p w14:paraId="4E4D60E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5.1.1 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72FBEC5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5.1.2 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澄清、说明和补正的内容作为响应文件的组成部分。</w:t>
      </w:r>
    </w:p>
    <w:p w14:paraId="3BB3790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5.1.3 只有形式评审和资格评审合格且实质性响应采购文件要求的供应商才可通过初步评审。经供应商澄清、说明和补正后仍未通过初步评审的响应文件将被视为无效，评审小组应告知有关供应商。</w:t>
      </w:r>
    </w:p>
    <w:p w14:paraId="5C6DD55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5.1.4 当通过初步评审的供应商数量大于询比采购约定的成交供应商数量时，可以改为参照谈判方式继续评审选择成交供应商。</w:t>
      </w:r>
    </w:p>
    <w:p w14:paraId="2D2B701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当通过初步评审的供应商数量</w:t>
      </w:r>
      <w:r>
        <w:rPr>
          <w:rFonts w:hint="eastAsia" w:ascii="仿宋" w:hAnsi="仿宋" w:eastAsia="仿宋" w:cs="仿宋"/>
          <w:b/>
          <w:sz w:val="24"/>
          <w:szCs w:val="24"/>
        </w:rPr>
        <w:t>等于采购文件规定的成交供应商数量</w:t>
      </w:r>
      <w:r>
        <w:rPr>
          <w:rFonts w:hint="eastAsia" w:ascii="仿宋" w:hAnsi="仿宋" w:eastAsia="仿宋" w:cs="仿宋"/>
          <w:sz w:val="24"/>
          <w:szCs w:val="24"/>
        </w:rPr>
        <w:t>时，可以改为参照直接采购方式继续评审选择成交供应商。</w:t>
      </w:r>
    </w:p>
    <w:p w14:paraId="1280989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当本次询比采购文件规定选择多家成交供应商时，通过初步评审的供应商数量小于约定成交供应商数量且大于等于一家的，可以改为参照直接采购方式继续评审选择一部分成交供应商，或者终止全部采购，重新组织采购选择选择全部成交供应商。</w:t>
      </w:r>
    </w:p>
    <w:p w14:paraId="1794B850">
      <w:pPr>
        <w:spacing w:line="400" w:lineRule="exact"/>
        <w:ind w:firstLine="480" w:firstLineChars="200"/>
        <w:rPr>
          <w:rFonts w:hint="eastAsia" w:ascii="仿宋" w:hAnsi="仿宋" w:eastAsia="仿宋" w:cs="仿宋"/>
        </w:rPr>
      </w:pPr>
      <w:r>
        <w:rPr>
          <w:rFonts w:hint="eastAsia" w:ascii="仿宋" w:hAnsi="仿宋" w:eastAsia="仿宋" w:cs="仿宋"/>
          <w:sz w:val="24"/>
          <w:szCs w:val="24"/>
        </w:rPr>
        <w:t>初步评审后，当所有响应文件均无效时，应重新组织采购。</w:t>
      </w:r>
    </w:p>
    <w:p w14:paraId="1763FC36">
      <w:pPr>
        <w:pStyle w:val="4"/>
        <w:spacing w:line="240" w:lineRule="auto"/>
        <w:ind w:firstLine="137"/>
        <w:rPr>
          <w:rFonts w:hint="eastAsia" w:ascii="仿宋" w:hAnsi="仿宋" w:eastAsia="仿宋" w:cs="仿宋"/>
        </w:rPr>
      </w:pPr>
      <w:bookmarkStart w:id="347" w:name="_Toc196323451"/>
      <w:bookmarkStart w:id="348" w:name="_Toc21918"/>
      <w:r>
        <w:rPr>
          <w:rFonts w:hint="eastAsia" w:ascii="仿宋" w:hAnsi="仿宋" w:eastAsia="仿宋" w:cs="仿宋"/>
        </w:rPr>
        <w:t>5.2 转换采购方式</w:t>
      </w:r>
      <w:bookmarkEnd w:id="347"/>
      <w:bookmarkEnd w:id="348"/>
    </w:p>
    <w:p w14:paraId="555EF9A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5.2.1 参照谈判采购方式评审</w:t>
      </w:r>
    </w:p>
    <w:p w14:paraId="4140596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（1）谈判。</w:t>
      </w:r>
    </w:p>
    <w:p w14:paraId="0246A3D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评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4046BAC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2）供应商的法定代表人（单位负责人）或其授权的代理人应参加谈判。供应商的法定代表人（单位负责人）或其授权的代理人在谈判中作出的承诺构成响应文件的组成部分。</w:t>
      </w:r>
    </w:p>
    <w:p w14:paraId="612A789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谈判结束后，评审小组将要求所有参加谈判的供应商在规定时间内递交最终报价。最终报价应由供应商的法定代表人（单位负责人）或其授权的代理人签字或加盖单位章。最终报价是供应商响应文件的组成部分。</w:t>
      </w:r>
    </w:p>
    <w:p w14:paraId="4A885DC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（2）公开开启最终报价。</w:t>
      </w:r>
    </w:p>
    <w:p w14:paraId="57A2150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评审小组将在递交最终报价的截止时间公开开启最终报价，供应商未派代表参加开启会议的，视为默认开启结果。</w:t>
      </w:r>
    </w:p>
    <w:p w14:paraId="6598870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（3）详细评审。</w:t>
      </w:r>
    </w:p>
    <w:p w14:paraId="66E2FFE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将按本章第3条规定对响应文件及其最终报价进行详细评审。采用综合评分法的，评审小组有权对本章第3.2款规定的评审基准价和第3.3（3）项规定的报价评分标准进行调整，但评审小组应在谈判开始前向供应商公布，未公布的，视为评审基准价和报价评分标准不作调整；详细评审标准中除报价评审标准外的其他评审标准不作调整。</w:t>
      </w:r>
    </w:p>
    <w:p w14:paraId="128289C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通过谈判后，评审小组认为所有供应商的最终报价仍然不合理的，应向采购人提出终止采购建议。</w:t>
      </w:r>
    </w:p>
    <w:p w14:paraId="21C61EF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（4）编写评审报告。</w:t>
      </w:r>
    </w:p>
    <w:p w14:paraId="3368E96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评审小组按本章第4.2款规定推荐候选成交供应商或按本章第5.2.1（3）项规定提出终止采购建议，并向采购人提交书面评审报告。</w:t>
      </w:r>
    </w:p>
    <w:p w14:paraId="4B546E7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5.2.2 参照直接采购方式评审</w:t>
      </w:r>
    </w:p>
    <w:p w14:paraId="4A1EFED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（1）谈判.</w:t>
      </w:r>
    </w:p>
    <w:p w14:paraId="1150305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所有成员集中与供应商进行谈判，供应商的法定代表人（单位负责人）或其授权的代理人应参加谈判。在谈判过程中，评审小组可根据谈判情况修改和补充采购文件的非实质性内容，但不得改变可能影响初步评审结果的内容。供应商的法定代表人（单位负责人）或其授权的代理人在谈判中作出的承诺构成响应文件的组成部分。评审小组可根据需要，安排多轮谈判。</w:t>
      </w:r>
    </w:p>
    <w:p w14:paraId="6027999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（2）详细评审。</w:t>
      </w:r>
    </w:p>
    <w:p w14:paraId="0DC8843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评审小组通过对采购成本、供应能力、风险管控、采购目标等的分析，对供应商拟提供标的的技术、商务进行物有所值综合评价。</w:t>
      </w:r>
    </w:p>
    <w:p w14:paraId="2E336AA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（3）编写评审报告。</w:t>
      </w:r>
    </w:p>
    <w:p w14:paraId="33482FE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评审小组根据预期的谈判目标综合谈判纪要编写评审报告，推荐候选成交供应商或提出谈判终止建议。</w:t>
      </w:r>
    </w:p>
    <w:p w14:paraId="2994C4C1">
      <w:pPr>
        <w:rPr>
          <w:rFonts w:hint="eastAsia" w:ascii="仿宋" w:hAnsi="仿宋" w:eastAsia="仿宋" w:cs="仿宋"/>
          <w:sz w:val="24"/>
          <w:szCs w:val="24"/>
        </w:rPr>
      </w:pPr>
      <w:r>
        <w:rPr>
          <w:rFonts w:hint="eastAsia" w:ascii="仿宋" w:hAnsi="仿宋" w:eastAsia="仿宋" w:cs="仿宋"/>
          <w:sz w:val="24"/>
          <w:szCs w:val="24"/>
        </w:rPr>
        <w:br w:type="page"/>
      </w:r>
    </w:p>
    <w:bookmarkEnd w:id="316"/>
    <w:p w14:paraId="278CDBCA">
      <w:pPr>
        <w:pStyle w:val="2"/>
        <w:spacing w:before="0" w:after="0" w:line="480" w:lineRule="auto"/>
        <w:jc w:val="center"/>
        <w:rPr>
          <w:rFonts w:hint="eastAsia" w:ascii="仿宋" w:hAnsi="仿宋" w:eastAsia="仿宋" w:cs="仿宋"/>
        </w:rPr>
      </w:pPr>
      <w:bookmarkStart w:id="349" w:name="_Toc11473"/>
      <w:bookmarkStart w:id="350" w:name="_Toc8245"/>
      <w:bookmarkStart w:id="351" w:name="_Toc21112"/>
      <w:r>
        <w:rPr>
          <w:rFonts w:hint="eastAsia" w:ascii="仿宋" w:hAnsi="仿宋" w:eastAsia="仿宋" w:cs="仿宋"/>
        </w:rPr>
        <w:t>第四章  合同条款及格式</w:t>
      </w:r>
      <w:bookmarkEnd w:id="349"/>
      <w:bookmarkEnd w:id="350"/>
      <w:bookmarkEnd w:id="351"/>
    </w:p>
    <w:p w14:paraId="07FBA035">
      <w:pPr>
        <w:spacing w:line="360" w:lineRule="auto"/>
        <w:ind w:right="735" w:rightChars="350" w:firstLine="2640" w:firstLineChars="1100"/>
        <w:jc w:val="right"/>
        <w:rPr>
          <w:rFonts w:hint="eastAsia" w:ascii="仿宋" w:hAnsi="仿宋" w:eastAsia="仿宋" w:cs="仿宋"/>
          <w:sz w:val="24"/>
          <w:szCs w:val="24"/>
        </w:rPr>
      </w:pPr>
    </w:p>
    <w:p w14:paraId="6B4C1D8D">
      <w:pPr>
        <w:pStyle w:val="32"/>
        <w:ind w:firstLine="422"/>
        <w:jc w:val="center"/>
        <w:rPr>
          <w:rFonts w:hint="eastAsia"/>
          <w:b/>
        </w:rPr>
      </w:pPr>
      <w:r>
        <w:rPr>
          <w:b/>
        </w:rPr>
        <w:t>第一节</w:t>
      </w:r>
      <w:r>
        <w:rPr>
          <w:rFonts w:hint="eastAsia"/>
          <w:b/>
        </w:rPr>
        <w:t xml:space="preserve">  </w:t>
      </w:r>
      <w:r>
        <w:rPr>
          <w:b/>
        </w:rPr>
        <w:t>合同条款</w:t>
      </w:r>
    </w:p>
    <w:p w14:paraId="4EFDDC5D">
      <w:pPr>
        <w:pStyle w:val="32"/>
        <w:rPr>
          <w:rFonts w:hint="eastAsia"/>
          <w:u w:val="single"/>
        </w:rPr>
      </w:pPr>
      <w:r>
        <w:rPr>
          <w:rFonts w:hint="eastAsia"/>
        </w:rPr>
        <w:t>甲方：</w:t>
      </w:r>
      <w:r>
        <w:rPr>
          <w:rFonts w:hint="eastAsia"/>
          <w:u w:val="single"/>
        </w:rPr>
        <w:t xml:space="preserve">                </w:t>
      </w:r>
    </w:p>
    <w:p w14:paraId="70327D55">
      <w:pPr>
        <w:pStyle w:val="32"/>
        <w:rPr>
          <w:rFonts w:hint="eastAsia"/>
        </w:rPr>
      </w:pPr>
      <w:r>
        <w:rPr>
          <w:rFonts w:hint="eastAsia"/>
        </w:rPr>
        <w:t>乙方：</w:t>
      </w:r>
      <w:r>
        <w:rPr>
          <w:rFonts w:hint="eastAsia"/>
          <w:u w:val="single"/>
        </w:rPr>
        <w:t xml:space="preserve">                </w:t>
      </w:r>
    </w:p>
    <w:p w14:paraId="7FC7E8F2">
      <w:pPr>
        <w:pStyle w:val="32"/>
        <w:rPr>
          <w:rFonts w:hint="eastAsia"/>
        </w:rPr>
      </w:pPr>
      <w:r>
        <w:rPr>
          <w:rFonts w:hint="eastAsia"/>
          <w:u w:val="single"/>
        </w:rPr>
        <w:t xml:space="preserve">          </w:t>
      </w:r>
      <w:r>
        <w:rPr>
          <w:rFonts w:hint="eastAsia"/>
        </w:rPr>
        <w:t>（甲方）就</w:t>
      </w:r>
      <w:r>
        <w:rPr>
          <w:rFonts w:hint="eastAsia"/>
          <w:u w:val="single"/>
        </w:rPr>
        <w:t xml:space="preserve">         </w:t>
      </w:r>
      <w:r>
        <w:rPr>
          <w:rFonts w:hint="eastAsia"/>
        </w:rPr>
        <w:t>（项目名称）采用询比的方式选择</w:t>
      </w:r>
      <w:r>
        <w:rPr>
          <w:rFonts w:hint="eastAsia"/>
          <w:u w:val="single"/>
        </w:rPr>
        <w:t xml:space="preserve">    </w:t>
      </w:r>
      <w:r>
        <w:rPr>
          <w:rFonts w:hint="eastAsia"/>
        </w:rPr>
        <w:t>（乙方）作为服务单位。现甲乙双方协商同意签订本合同。</w:t>
      </w:r>
    </w:p>
    <w:p w14:paraId="6BA248D9">
      <w:pPr>
        <w:pStyle w:val="32"/>
        <w:numPr>
          <w:ilvl w:val="0"/>
          <w:numId w:val="1"/>
        </w:numPr>
        <w:ind w:firstLine="422"/>
        <w:rPr>
          <w:rFonts w:hint="eastAsia"/>
          <w:b/>
        </w:rPr>
      </w:pPr>
      <w:r>
        <w:rPr>
          <w:rFonts w:hint="eastAsia"/>
          <w:b/>
        </w:rPr>
        <w:t>合同文件</w:t>
      </w:r>
    </w:p>
    <w:p w14:paraId="7B2E6986">
      <w:pPr>
        <w:pStyle w:val="32"/>
        <w:rPr>
          <w:rFonts w:hint="eastAsia"/>
        </w:rPr>
      </w:pPr>
      <w:r>
        <w:rPr>
          <w:rFonts w:hint="eastAsia"/>
        </w:rPr>
        <w:t>下列与本次询比采购活动有关的文件及附件是本合同不可分割的组成部分，与本合同具有同等法律效力，这些文件包括但不限于：</w:t>
      </w:r>
    </w:p>
    <w:p w14:paraId="0B50D7FB">
      <w:pPr>
        <w:pStyle w:val="32"/>
        <w:rPr>
          <w:rFonts w:hint="eastAsia"/>
        </w:rPr>
      </w:pPr>
      <w:r>
        <w:rPr>
          <w:rFonts w:hint="eastAsia"/>
        </w:rPr>
        <w:t>（1）本合同及其补充合同、变更协议；</w:t>
      </w:r>
    </w:p>
    <w:p w14:paraId="6B64AC88">
      <w:pPr>
        <w:pStyle w:val="32"/>
        <w:rPr>
          <w:rFonts w:hint="eastAsia"/>
        </w:rPr>
      </w:pPr>
      <w:r>
        <w:rPr>
          <w:rFonts w:hint="eastAsia"/>
        </w:rPr>
        <w:t>（2）成交通知书；</w:t>
      </w:r>
    </w:p>
    <w:p w14:paraId="72DE19DB">
      <w:pPr>
        <w:pStyle w:val="32"/>
        <w:rPr>
          <w:rFonts w:hint="eastAsia"/>
        </w:rPr>
      </w:pPr>
      <w:r>
        <w:rPr>
          <w:rFonts w:hint="eastAsia"/>
        </w:rPr>
        <w:t>（3）采购文件及附件（含澄清或者修改文件）；</w:t>
      </w:r>
    </w:p>
    <w:p w14:paraId="1B60575A">
      <w:pPr>
        <w:pStyle w:val="32"/>
        <w:rPr>
          <w:rFonts w:hint="eastAsia"/>
        </w:rPr>
      </w:pPr>
      <w:r>
        <w:rPr>
          <w:rFonts w:hint="eastAsia"/>
        </w:rPr>
        <w:t>（4）响应文件及附件（含澄清或者说明文件）;</w:t>
      </w:r>
    </w:p>
    <w:p w14:paraId="0F2E346E">
      <w:pPr>
        <w:pStyle w:val="32"/>
        <w:rPr>
          <w:rFonts w:hint="eastAsia"/>
        </w:rPr>
      </w:pPr>
      <w:r>
        <w:rPr>
          <w:rFonts w:hint="eastAsia"/>
        </w:rPr>
        <w:t>（5）其他合同文件。</w:t>
      </w:r>
    </w:p>
    <w:p w14:paraId="3E509FF1">
      <w:pPr>
        <w:pStyle w:val="32"/>
        <w:rPr>
          <w:rFonts w:hint="eastAsia"/>
        </w:rPr>
      </w:pPr>
      <w:r>
        <w:rPr>
          <w:rFonts w:hint="eastAsia"/>
        </w:rPr>
        <w:t>上述合同文件互相补充和解释。如果合同文件之间存在矛盾或不一致之处，以上述文件的排列顺序在先者为准。</w:t>
      </w:r>
    </w:p>
    <w:p w14:paraId="6CCE3533">
      <w:pPr>
        <w:pStyle w:val="32"/>
        <w:ind w:firstLine="422"/>
        <w:rPr>
          <w:rFonts w:hint="eastAsia"/>
          <w:b/>
        </w:rPr>
      </w:pPr>
      <w:r>
        <w:rPr>
          <w:rFonts w:hint="eastAsia"/>
          <w:b/>
        </w:rPr>
        <w:t>2. 合同范围</w:t>
      </w:r>
    </w:p>
    <w:p w14:paraId="74A72432">
      <w:pPr>
        <w:pStyle w:val="32"/>
        <w:rPr>
          <w:rFonts w:hint="eastAsia"/>
        </w:rPr>
      </w:pPr>
      <w:r>
        <w:rPr>
          <w:rFonts w:hint="eastAsia"/>
        </w:rPr>
        <w:t xml:space="preserve">甲方委托乙方提供以下服务： </w:t>
      </w:r>
    </w:p>
    <w:p w14:paraId="1F225477">
      <w:pPr>
        <w:pStyle w:val="32"/>
        <w:rPr>
          <w:rFonts w:hint="eastAsia"/>
        </w:rPr>
      </w:pPr>
      <w:r>
        <w:rPr>
          <w:rFonts w:hint="eastAsia"/>
        </w:rPr>
        <w:t>2.1 服务名称：</w:t>
      </w:r>
      <w:r>
        <w:rPr>
          <w:rFonts w:hint="eastAsia"/>
          <w:u w:val="single"/>
        </w:rPr>
        <w:t xml:space="preserve">                          </w:t>
      </w:r>
      <w:r>
        <w:rPr>
          <w:rFonts w:hint="eastAsia"/>
        </w:rPr>
        <w:t>。</w:t>
      </w:r>
    </w:p>
    <w:p w14:paraId="7E482721">
      <w:pPr>
        <w:pStyle w:val="32"/>
        <w:rPr>
          <w:rFonts w:hint="eastAsia"/>
        </w:rPr>
      </w:pPr>
      <w:r>
        <w:rPr>
          <w:rFonts w:hint="eastAsia"/>
        </w:rPr>
        <w:t>2.2 服务内容：</w:t>
      </w:r>
      <w:r>
        <w:rPr>
          <w:rFonts w:hint="eastAsia"/>
          <w:u w:val="single"/>
        </w:rPr>
        <w:t xml:space="preserve">                          </w:t>
      </w:r>
      <w:r>
        <w:rPr>
          <w:rFonts w:hint="eastAsia"/>
        </w:rPr>
        <w:t>。</w:t>
      </w:r>
    </w:p>
    <w:p w14:paraId="65F5BCC9">
      <w:pPr>
        <w:pStyle w:val="32"/>
        <w:rPr>
          <w:rFonts w:hint="eastAsia"/>
        </w:rPr>
      </w:pPr>
      <w:r>
        <w:rPr>
          <w:rFonts w:hint="eastAsia"/>
        </w:rPr>
        <w:t>2.3 服务要求：</w:t>
      </w:r>
      <w:r>
        <w:rPr>
          <w:rFonts w:hint="eastAsia"/>
          <w:u w:val="single"/>
        </w:rPr>
        <w:t xml:space="preserve">                          </w:t>
      </w:r>
      <w:r>
        <w:rPr>
          <w:rFonts w:hint="eastAsia"/>
        </w:rPr>
        <w:t>。</w:t>
      </w:r>
    </w:p>
    <w:p w14:paraId="06B138E2">
      <w:pPr>
        <w:pStyle w:val="32"/>
        <w:rPr>
          <w:rFonts w:hint="eastAsia"/>
        </w:rPr>
      </w:pPr>
      <w:r>
        <w:rPr>
          <w:rFonts w:hint="eastAsia"/>
        </w:rPr>
        <w:t>2.4 服务期限：</w:t>
      </w:r>
      <w:r>
        <w:rPr>
          <w:rFonts w:hint="eastAsia"/>
          <w:u w:val="single"/>
        </w:rPr>
        <w:t xml:space="preserve">                          </w:t>
      </w:r>
      <w:r>
        <w:rPr>
          <w:rFonts w:hint="eastAsia"/>
        </w:rPr>
        <w:t>。</w:t>
      </w:r>
    </w:p>
    <w:p w14:paraId="6C5C8709">
      <w:pPr>
        <w:pStyle w:val="32"/>
        <w:rPr>
          <w:rFonts w:hint="eastAsia"/>
        </w:rPr>
      </w:pPr>
      <w:r>
        <w:rPr>
          <w:rFonts w:hint="eastAsia"/>
        </w:rPr>
        <w:t>2.5 服务质量：</w:t>
      </w:r>
      <w:r>
        <w:rPr>
          <w:rFonts w:hint="eastAsia"/>
          <w:u w:val="single"/>
        </w:rPr>
        <w:t xml:space="preserve">                          </w:t>
      </w:r>
      <w:r>
        <w:rPr>
          <w:rFonts w:hint="eastAsia"/>
        </w:rPr>
        <w:t>。</w:t>
      </w:r>
      <w:r>
        <w:rPr>
          <w:rFonts w:hint="eastAsia"/>
        </w:rPr>
        <w:tab/>
      </w:r>
    </w:p>
    <w:p w14:paraId="4875128B">
      <w:pPr>
        <w:pStyle w:val="32"/>
        <w:ind w:firstLine="422"/>
        <w:rPr>
          <w:rFonts w:hint="eastAsia"/>
          <w:b/>
        </w:rPr>
      </w:pPr>
      <w:r>
        <w:rPr>
          <w:rFonts w:hint="eastAsia"/>
          <w:b/>
        </w:rPr>
        <w:t>3. 合同价格</w:t>
      </w:r>
    </w:p>
    <w:p w14:paraId="572774A1">
      <w:pPr>
        <w:pStyle w:val="32"/>
        <w:rPr>
          <w:rFonts w:hint="eastAsia"/>
        </w:rPr>
      </w:pPr>
      <w:r>
        <w:rPr>
          <w:rFonts w:hint="eastAsia"/>
        </w:rPr>
        <w:t>3.1 合同价格为（大写）：</w:t>
      </w:r>
      <w:r>
        <w:rPr>
          <w:rFonts w:hint="eastAsia"/>
          <w:u w:val="single"/>
        </w:rPr>
        <w:t xml:space="preserve">                 </w:t>
      </w:r>
      <w:r>
        <w:rPr>
          <w:rFonts w:hint="eastAsia"/>
        </w:rPr>
        <w:t xml:space="preserve"> 元（￥</w:t>
      </w:r>
      <w:r>
        <w:rPr>
          <w:rFonts w:hint="eastAsia"/>
          <w:u w:val="single"/>
        </w:rPr>
        <w:t xml:space="preserve">         </w:t>
      </w:r>
      <w:r>
        <w:rPr>
          <w:rFonts w:hint="eastAsia"/>
        </w:rPr>
        <w:t>元）人民币。</w:t>
      </w:r>
    </w:p>
    <w:p w14:paraId="7A1FA8F4">
      <w:pPr>
        <w:pStyle w:val="32"/>
        <w:rPr>
          <w:rFonts w:hint="eastAsia"/>
          <w:u w:val="single"/>
        </w:rPr>
      </w:pPr>
      <w:r>
        <w:rPr>
          <w:rFonts w:hint="eastAsia"/>
        </w:rPr>
        <w:t>3.2 合同价格包括的内容：</w:t>
      </w:r>
      <w:r>
        <w:rPr>
          <w:rFonts w:hint="eastAsia"/>
          <w:u w:val="single"/>
        </w:rPr>
        <w:t xml:space="preserve">                       </w:t>
      </w:r>
    </w:p>
    <w:p w14:paraId="6AB1A4F0">
      <w:pPr>
        <w:pStyle w:val="32"/>
        <w:rPr>
          <w:rFonts w:hint="eastAsia"/>
        </w:rPr>
      </w:pPr>
      <w:r>
        <w:rPr>
          <w:rFonts w:hint="eastAsia"/>
        </w:rPr>
        <w:t>3.3 合同价格形式：</w:t>
      </w:r>
      <w:r>
        <w:rPr>
          <w:rFonts w:hint="eastAsia"/>
          <w:u w:val="single"/>
        </w:rPr>
        <w:t xml:space="preserve">  □固定价格  □可调价格 </w:t>
      </w:r>
      <w:r>
        <w:rPr>
          <w:rFonts w:hint="eastAsia"/>
        </w:rPr>
        <w:t>。</w:t>
      </w:r>
    </w:p>
    <w:p w14:paraId="59516E81">
      <w:pPr>
        <w:pStyle w:val="32"/>
        <w:rPr>
          <w:rFonts w:hint="eastAsia"/>
        </w:rPr>
      </w:pPr>
      <w:r>
        <w:rPr>
          <w:rFonts w:hint="eastAsia"/>
        </w:rPr>
        <w:t>采用可调价格合同时，采用以下方式对合同价格进行调整：</w:t>
      </w:r>
    </w:p>
    <w:p w14:paraId="5D05D2BA">
      <w:pPr>
        <w:pStyle w:val="32"/>
        <w:rPr>
          <w:rFonts w:hint="eastAsia"/>
          <w:u w:val="single"/>
        </w:rPr>
      </w:pPr>
      <w:r>
        <w:rPr>
          <w:rFonts w:hint="eastAsia"/>
          <w:u w:val="single"/>
        </w:rPr>
        <w:t xml:space="preserve">                                    </w:t>
      </w:r>
    </w:p>
    <w:p w14:paraId="529DE2C8">
      <w:pPr>
        <w:pStyle w:val="32"/>
        <w:ind w:firstLine="422"/>
        <w:rPr>
          <w:rFonts w:hint="eastAsia"/>
          <w:b/>
        </w:rPr>
      </w:pPr>
      <w:r>
        <w:rPr>
          <w:rFonts w:hint="eastAsia"/>
          <w:b/>
        </w:rPr>
        <w:t>4. 付款方式</w:t>
      </w:r>
    </w:p>
    <w:p w14:paraId="24471266">
      <w:pPr>
        <w:pStyle w:val="32"/>
        <w:rPr>
          <w:rFonts w:hint="eastAsia"/>
        </w:rPr>
      </w:pPr>
      <w:r>
        <w:rPr>
          <w:rFonts w:hint="eastAsia"/>
        </w:rPr>
        <w:t>4.1 本合同项下所有款项均以人民币支付。</w:t>
      </w:r>
    </w:p>
    <w:p w14:paraId="25DAD209">
      <w:pPr>
        <w:pStyle w:val="32"/>
        <w:rPr>
          <w:rFonts w:hint="eastAsia"/>
        </w:rPr>
      </w:pPr>
      <w:r>
        <w:rPr>
          <w:rFonts w:hint="eastAsia"/>
        </w:rPr>
        <w:t xml:space="preserve">4.2 签订合同后预付60% ，概念设计完毕20%，全部服务完成并验收通过后付清剩余款项。 </w:t>
      </w:r>
    </w:p>
    <w:p w14:paraId="2CA8FEF8">
      <w:pPr>
        <w:pStyle w:val="32"/>
        <w:ind w:firstLine="422"/>
        <w:rPr>
          <w:rFonts w:hint="eastAsia"/>
          <w:b/>
        </w:rPr>
      </w:pPr>
      <w:r>
        <w:rPr>
          <w:rFonts w:hint="eastAsia"/>
          <w:b/>
        </w:rPr>
        <w:t>5. 合同文件和资料的使用</w:t>
      </w:r>
    </w:p>
    <w:p w14:paraId="292AE9AF">
      <w:pPr>
        <w:pStyle w:val="32"/>
        <w:rPr>
          <w:rFonts w:hint="eastAsia"/>
        </w:rPr>
      </w:pPr>
      <w:r>
        <w:rPr>
          <w:rFonts w:hint="eastAsia"/>
        </w:rPr>
        <w:t>5.1 没有甲方书面同意，乙方不得将甲方或代表甲方提供的有关合同或任何合同条文、技术规格和要求、计划、图纸、模型、样品或资料提供给与履行本合同无关的任何其他人。即使向与履行本合同有关的人员提供，也应注意保密并限于履行合同必须的范围。</w:t>
      </w:r>
    </w:p>
    <w:p w14:paraId="1E45C032">
      <w:pPr>
        <w:pStyle w:val="32"/>
        <w:rPr>
          <w:rFonts w:hint="eastAsia"/>
        </w:rPr>
      </w:pPr>
      <w:r>
        <w:rPr>
          <w:rFonts w:hint="eastAsia"/>
        </w:rPr>
        <w:t>5.2 没有甲方书面同意，除了履行本合同外，乙方不应使用合同条款第3.1款所列举的任何文件和资料。如果甲方有要求，除了合同本身以外，乙方在完成合同后应将这些文件及全部复制件还给甲方。</w:t>
      </w:r>
    </w:p>
    <w:p w14:paraId="3F1C6E4D">
      <w:pPr>
        <w:pStyle w:val="32"/>
        <w:rPr>
          <w:rFonts w:hint="eastAsia"/>
        </w:rPr>
      </w:pPr>
      <w:r>
        <w:rPr>
          <w:rFonts w:hint="eastAsia"/>
        </w:rPr>
        <w:t>5.3 乙方的技术秘密、商业秘密和声明需要保密的资料和信息，甲方不得为合同以外的目的泄露给他人。</w:t>
      </w:r>
    </w:p>
    <w:p w14:paraId="298D28A2">
      <w:pPr>
        <w:pStyle w:val="32"/>
        <w:ind w:firstLine="422"/>
        <w:rPr>
          <w:rFonts w:hint="eastAsia"/>
          <w:b/>
        </w:rPr>
      </w:pPr>
      <w:r>
        <w:rPr>
          <w:rFonts w:hint="eastAsia"/>
          <w:b/>
        </w:rPr>
        <w:t>6. 知识产权</w:t>
      </w:r>
    </w:p>
    <w:p w14:paraId="49394DB4">
      <w:pPr>
        <w:pStyle w:val="32"/>
        <w:rPr>
          <w:rFonts w:hint="eastAsia"/>
        </w:rPr>
      </w:pPr>
      <w:r>
        <w:rPr>
          <w:rFonts w:hint="eastAsia"/>
        </w:rPr>
        <w:t>6.1 乙方应保证，甲方使用本合同服务或服务的任何一部分时，免受第三方提出的侵犯其专利权、商标权、著作权或其他知识产权的起诉。</w:t>
      </w:r>
    </w:p>
    <w:p w14:paraId="5729F0CD">
      <w:pPr>
        <w:pStyle w:val="32"/>
        <w:rPr>
          <w:rFonts w:hint="eastAsia"/>
        </w:rPr>
      </w:pPr>
      <w:r>
        <w:rPr>
          <w:rFonts w:hint="eastAsia"/>
        </w:rPr>
        <w:t>6.2 如果发生第三方就乙方向甲方提供的本合同项下所涉及的货物及服务对甲方进行侵权指控，乙方应承担由此而引起的一切经济和法律责任。</w:t>
      </w:r>
    </w:p>
    <w:p w14:paraId="0189E98A">
      <w:pPr>
        <w:pStyle w:val="32"/>
        <w:rPr>
          <w:rFonts w:hint="eastAsia"/>
        </w:rPr>
      </w:pPr>
      <w:r>
        <w:rPr>
          <w:rFonts w:hint="eastAsia"/>
        </w:rPr>
        <w:t>6.3 乙方在投标中采用专利技术的，专利技术的使用费包含在合同总价内。</w:t>
      </w:r>
    </w:p>
    <w:p w14:paraId="7FEE9B38">
      <w:pPr>
        <w:pStyle w:val="32"/>
        <w:ind w:firstLine="422"/>
        <w:rPr>
          <w:rFonts w:hint="eastAsia"/>
          <w:b/>
        </w:rPr>
      </w:pPr>
      <w:r>
        <w:rPr>
          <w:rFonts w:hint="eastAsia"/>
          <w:b/>
        </w:rPr>
        <w:t>7.联络</w:t>
      </w:r>
    </w:p>
    <w:p w14:paraId="6E698CD6">
      <w:pPr>
        <w:pStyle w:val="32"/>
        <w:rPr>
          <w:rFonts w:hint="eastAsia"/>
        </w:rPr>
      </w:pPr>
      <w:r>
        <w:rPr>
          <w:rFonts w:hint="eastAsia"/>
        </w:rPr>
        <w:t>7.1 甲方对乙方的合同履行情况进行督促和检查。</w:t>
      </w:r>
    </w:p>
    <w:p w14:paraId="6D204980">
      <w:pPr>
        <w:pStyle w:val="32"/>
        <w:rPr>
          <w:rFonts w:hint="eastAsia"/>
        </w:rPr>
      </w:pPr>
      <w:r>
        <w:rPr>
          <w:rFonts w:hint="eastAsia"/>
        </w:rPr>
        <w:t>7.2 乙方应设乙方代表，负责服务环节的业务协调以及与甲方的联络，并在合同生效后10天内向甲方书面提供乙方代表的姓名、职务、联系方式及授权书。</w:t>
      </w:r>
    </w:p>
    <w:p w14:paraId="31E152B6">
      <w:pPr>
        <w:pStyle w:val="32"/>
        <w:rPr>
          <w:rFonts w:hint="eastAsia"/>
        </w:rPr>
      </w:pPr>
      <w:r>
        <w:rPr>
          <w:rFonts w:hint="eastAsia"/>
        </w:rPr>
        <w:t>7.3 乙方代表的变更、撤销应获得甲方的书面认可。甲方有权根据乙方代表的工作情况，提出撤换人员的要求。乙方应根据第 7.2 款的要求尽快重新任命上述人员，在新任人员到位前原乙方代表继续承担第 7.2 款的职责。</w:t>
      </w:r>
    </w:p>
    <w:p w14:paraId="1210AD7D">
      <w:pPr>
        <w:pStyle w:val="32"/>
        <w:rPr>
          <w:rFonts w:hint="eastAsia"/>
        </w:rPr>
      </w:pPr>
      <w:r>
        <w:rPr>
          <w:rFonts w:hint="eastAsia"/>
        </w:rPr>
        <w:t>7.4 甲乙双方通过代表联络与履行合同有关事宜均应采用书面形式。</w:t>
      </w:r>
    </w:p>
    <w:p w14:paraId="535DE9E8">
      <w:pPr>
        <w:pStyle w:val="32"/>
        <w:ind w:firstLine="422"/>
        <w:rPr>
          <w:rFonts w:hint="eastAsia"/>
          <w:b/>
        </w:rPr>
      </w:pPr>
      <w:r>
        <w:rPr>
          <w:rFonts w:hint="eastAsia"/>
          <w:b/>
        </w:rPr>
        <w:t>8. 计划和报告</w:t>
      </w:r>
    </w:p>
    <w:p w14:paraId="5CB2C711">
      <w:pPr>
        <w:pStyle w:val="32"/>
        <w:rPr>
          <w:rFonts w:hint="eastAsia"/>
        </w:rPr>
      </w:pPr>
      <w:r>
        <w:rPr>
          <w:rFonts w:hint="eastAsia"/>
        </w:rPr>
        <w:t>8.1 合同签订后</w:t>
      </w:r>
      <w:r>
        <w:rPr>
          <w:rFonts w:hint="eastAsia"/>
          <w:u w:val="single"/>
        </w:rPr>
        <w:t xml:space="preserve">  </w:t>
      </w:r>
      <w:r>
        <w:rPr>
          <w:rFonts w:hint="eastAsia"/>
        </w:rPr>
        <w:t>日内，乙方向甲方提供服务方案。如甲方认为需要调整，乙方应根据要求修改方案。</w:t>
      </w:r>
    </w:p>
    <w:p w14:paraId="664248D1">
      <w:pPr>
        <w:pStyle w:val="32"/>
        <w:rPr>
          <w:rFonts w:hint="eastAsia"/>
        </w:rPr>
      </w:pPr>
      <w:r>
        <w:rPr>
          <w:rFonts w:hint="eastAsia"/>
        </w:rPr>
        <w:t>8.2 乙方应根据供应需求计划，按合同约定的时间向甲方提交进度报告。进度报告应包括：</w:t>
      </w:r>
    </w:p>
    <w:p w14:paraId="43840F57">
      <w:pPr>
        <w:pStyle w:val="32"/>
        <w:rPr>
          <w:rFonts w:hint="eastAsia"/>
        </w:rPr>
      </w:pPr>
      <w:r>
        <w:rPr>
          <w:rFonts w:hint="eastAsia"/>
        </w:rPr>
        <w:t>（1）服务安排计划；</w:t>
      </w:r>
    </w:p>
    <w:p w14:paraId="05D528E3">
      <w:pPr>
        <w:pStyle w:val="32"/>
        <w:rPr>
          <w:rFonts w:hint="eastAsia"/>
        </w:rPr>
      </w:pPr>
      <w:r>
        <w:rPr>
          <w:rFonts w:hint="eastAsia"/>
        </w:rPr>
        <w:t>（2）实际完成进度与计划完成进度的比较；</w:t>
      </w:r>
    </w:p>
    <w:p w14:paraId="47C0359A">
      <w:pPr>
        <w:pStyle w:val="32"/>
        <w:rPr>
          <w:rFonts w:hint="eastAsia"/>
        </w:rPr>
      </w:pPr>
      <w:r>
        <w:rPr>
          <w:rFonts w:hint="eastAsia"/>
        </w:rPr>
        <w:t>（3）如果实际进度比计划进度滞后，应给出原因及改进措施。</w:t>
      </w:r>
    </w:p>
    <w:p w14:paraId="1B2DA433">
      <w:pPr>
        <w:pStyle w:val="32"/>
        <w:ind w:firstLine="422"/>
        <w:rPr>
          <w:rFonts w:hint="eastAsia"/>
          <w:b/>
        </w:rPr>
      </w:pPr>
      <w:r>
        <w:rPr>
          <w:rFonts w:hint="eastAsia"/>
          <w:b/>
        </w:rPr>
        <w:t>9. 验收</w:t>
      </w:r>
    </w:p>
    <w:p w14:paraId="3A1B2019">
      <w:pPr>
        <w:pStyle w:val="32"/>
        <w:rPr>
          <w:rFonts w:hint="eastAsia"/>
        </w:rPr>
      </w:pPr>
      <w:r>
        <w:rPr>
          <w:rFonts w:hint="eastAsia"/>
        </w:rPr>
        <w:t>9.1甲方对乙方提供的服务进行验收。</w:t>
      </w:r>
    </w:p>
    <w:p w14:paraId="1F3D1510">
      <w:pPr>
        <w:pStyle w:val="32"/>
        <w:rPr>
          <w:rFonts w:hint="eastAsia"/>
          <w:u w:val="single"/>
        </w:rPr>
      </w:pPr>
      <w:r>
        <w:rPr>
          <w:rFonts w:hint="eastAsia"/>
        </w:rPr>
        <w:t xml:space="preserve">  验收时间：</w:t>
      </w:r>
      <w:r>
        <w:rPr>
          <w:rFonts w:hint="eastAsia"/>
          <w:u w:val="single"/>
        </w:rPr>
        <w:t xml:space="preserve">                     </w:t>
      </w:r>
      <w:r>
        <w:rPr>
          <w:rFonts w:hint="eastAsia"/>
        </w:rPr>
        <w:t>。</w:t>
      </w:r>
    </w:p>
    <w:p w14:paraId="57502705">
      <w:pPr>
        <w:pStyle w:val="32"/>
        <w:rPr>
          <w:rFonts w:hint="eastAsia"/>
        </w:rPr>
      </w:pPr>
      <w:r>
        <w:rPr>
          <w:rFonts w:hint="eastAsia"/>
        </w:rPr>
        <w:t>验收地点：</w:t>
      </w:r>
      <w:r>
        <w:rPr>
          <w:rFonts w:hint="eastAsia"/>
          <w:u w:val="single"/>
        </w:rPr>
        <w:t xml:space="preserve">                     </w:t>
      </w:r>
      <w:r>
        <w:rPr>
          <w:rFonts w:hint="eastAsia"/>
        </w:rPr>
        <w:t>。</w:t>
      </w:r>
    </w:p>
    <w:p w14:paraId="4FF19F8C">
      <w:pPr>
        <w:pStyle w:val="32"/>
        <w:rPr>
          <w:rFonts w:hint="eastAsia"/>
        </w:rPr>
      </w:pPr>
      <w:r>
        <w:rPr>
          <w:rFonts w:hint="eastAsia"/>
        </w:rPr>
        <w:t>验收方式：</w:t>
      </w:r>
      <w:r>
        <w:rPr>
          <w:rFonts w:hint="eastAsia"/>
          <w:u w:val="single"/>
        </w:rPr>
        <w:t xml:space="preserve">                     </w:t>
      </w:r>
      <w:r>
        <w:rPr>
          <w:rFonts w:hint="eastAsia"/>
        </w:rPr>
        <w:t>。</w:t>
      </w:r>
    </w:p>
    <w:p w14:paraId="61E3D901">
      <w:pPr>
        <w:pStyle w:val="32"/>
        <w:rPr>
          <w:rFonts w:hint="eastAsia"/>
        </w:rPr>
      </w:pPr>
      <w:r>
        <w:rPr>
          <w:rFonts w:hint="eastAsia"/>
        </w:rPr>
        <w:t>9.2 乙方应对提供的服务成果作出全面自查和整理，并列出清单，作为甲方验收和使用的技术条件依据，清单应随提供的服务成果交给甲方。</w:t>
      </w:r>
    </w:p>
    <w:p w14:paraId="3A238066">
      <w:pPr>
        <w:pStyle w:val="32"/>
        <w:rPr>
          <w:rFonts w:hint="eastAsia"/>
        </w:rPr>
      </w:pPr>
      <w:r>
        <w:rPr>
          <w:rFonts w:hint="eastAsia"/>
        </w:rPr>
        <w:t>9.3 验收时，甲乙双方必须同时在场，乙方所提供的服务不符合合同内容规定的，甲方有权拒绝验收。乙方应及时按本合同内容规定和甲方要求免费进行整改，直至验收合格，方视为乙方按本合同规定完成服务。在经过两次限期整改后，服务仍达不到合同文件规定内容的，甲方有权拒收，并可以解除合同；由此引起甲方损失及赔偿责任由乙方承担。</w:t>
      </w:r>
    </w:p>
    <w:p w14:paraId="796D490C">
      <w:pPr>
        <w:pStyle w:val="32"/>
        <w:ind w:firstLine="422"/>
        <w:rPr>
          <w:rFonts w:hint="eastAsia"/>
          <w:b/>
        </w:rPr>
      </w:pPr>
      <w:r>
        <w:rPr>
          <w:rFonts w:hint="eastAsia"/>
          <w:b/>
        </w:rPr>
        <w:t>10. 分包、转包</w:t>
      </w:r>
    </w:p>
    <w:p w14:paraId="1EA0E14D">
      <w:pPr>
        <w:pStyle w:val="32"/>
        <w:rPr>
          <w:rFonts w:hint="eastAsia"/>
        </w:rPr>
      </w:pPr>
      <w:r>
        <w:rPr>
          <w:rFonts w:hint="eastAsia"/>
        </w:rPr>
        <w:t>10.1除甲方事先书面同意外，乙方不得部分或全部转让其应履行的合同义务。</w:t>
      </w:r>
    </w:p>
    <w:p w14:paraId="28D44033">
      <w:pPr>
        <w:pStyle w:val="32"/>
        <w:rPr>
          <w:rFonts w:hint="eastAsia"/>
        </w:rPr>
      </w:pPr>
      <w:r>
        <w:rPr>
          <w:rFonts w:hint="eastAsia"/>
        </w:rPr>
        <w:t>10.2除甲方事先书面同意外，乙方不得改变在响应文件中提出的分包项目和建议的分包人（如果有）。</w:t>
      </w:r>
    </w:p>
    <w:p w14:paraId="28402FE5">
      <w:pPr>
        <w:pStyle w:val="32"/>
        <w:ind w:firstLine="422"/>
        <w:rPr>
          <w:rFonts w:hint="eastAsia"/>
          <w:b/>
        </w:rPr>
      </w:pPr>
      <w:r>
        <w:rPr>
          <w:rFonts w:hint="eastAsia"/>
          <w:b/>
        </w:rPr>
        <w:t>11. 违约</w:t>
      </w:r>
    </w:p>
    <w:p w14:paraId="18A1EDB9">
      <w:pPr>
        <w:pStyle w:val="32"/>
        <w:rPr>
          <w:rFonts w:hint="eastAsia"/>
        </w:rPr>
      </w:pPr>
      <w:r>
        <w:rPr>
          <w:rFonts w:hint="eastAsia"/>
        </w:rPr>
        <w:t>11.1 乙方违约</w:t>
      </w:r>
    </w:p>
    <w:p w14:paraId="7D5724DB">
      <w:pPr>
        <w:pStyle w:val="32"/>
        <w:rPr>
          <w:rFonts w:hint="eastAsia"/>
        </w:rPr>
      </w:pPr>
      <w:r>
        <w:rPr>
          <w:rFonts w:hint="eastAsia"/>
        </w:rPr>
        <w:t>11.1.1 乙方所交付服务成果不符合本合同规定的，甲方有权拒收，乙方在得到甲方通知之日起</w:t>
      </w:r>
      <w:r>
        <w:rPr>
          <w:rFonts w:hint="eastAsia"/>
          <w:u w:val="single"/>
        </w:rPr>
        <w:t xml:space="preserve">  3  </w:t>
      </w:r>
      <w:r>
        <w:rPr>
          <w:rFonts w:hint="eastAsia"/>
        </w:rPr>
        <w:t>个工作日内采取补救措施，逾期仍未采取有效措施的，甲方有权要求乙方赔偿因此造成的损失或扣留履约保证金；同时乙方应向甲方支付合同总价</w:t>
      </w:r>
      <w:r>
        <w:rPr>
          <w:rFonts w:hint="eastAsia"/>
          <w:u w:val="single"/>
        </w:rPr>
        <w:t xml:space="preserve">   0.1   </w:t>
      </w:r>
      <w:r>
        <w:rPr>
          <w:rFonts w:hint="eastAsia"/>
        </w:rPr>
        <w:t>％的违约金/次。</w:t>
      </w:r>
    </w:p>
    <w:p w14:paraId="09749C4E">
      <w:pPr>
        <w:pStyle w:val="32"/>
        <w:rPr>
          <w:rFonts w:hint="eastAsia"/>
        </w:rPr>
      </w:pPr>
      <w:r>
        <w:rPr>
          <w:rFonts w:hint="eastAsia"/>
        </w:rPr>
        <w:t>11.1.2 乙方无正当理由逾期交付服务的，每逾期</w:t>
      </w:r>
      <w:r>
        <w:rPr>
          <w:rFonts w:hint="eastAsia"/>
          <w:u w:val="single"/>
        </w:rPr>
        <w:t xml:space="preserve">  1  </w:t>
      </w:r>
      <w:r>
        <w:rPr>
          <w:rFonts w:hint="eastAsia"/>
        </w:rPr>
        <w:t>天，乙方向甲方偿付合同总额的</w:t>
      </w:r>
      <w:r>
        <w:rPr>
          <w:rFonts w:hint="eastAsia"/>
          <w:u w:val="single"/>
        </w:rPr>
        <w:t xml:space="preserve"> 0.5 </w:t>
      </w:r>
      <w:r>
        <w:rPr>
          <w:rFonts w:hint="eastAsia"/>
        </w:rPr>
        <w:t>‰的违约金，但累计误期违约金总额不超过合同总额的</w:t>
      </w:r>
      <w:r>
        <w:rPr>
          <w:rFonts w:hint="eastAsia"/>
          <w:u w:val="single"/>
        </w:rPr>
        <w:t xml:space="preserve"> 5 </w:t>
      </w:r>
      <w:r>
        <w:rPr>
          <w:rFonts w:hint="eastAsia"/>
        </w:rPr>
        <w:t>％。如乙方逾期达</w:t>
      </w:r>
      <w:r>
        <w:rPr>
          <w:rFonts w:hint="eastAsia"/>
          <w:u w:val="single"/>
        </w:rPr>
        <w:t xml:space="preserve"> 30 </w:t>
      </w:r>
      <w:r>
        <w:rPr>
          <w:rFonts w:hint="eastAsia"/>
        </w:rPr>
        <w:t>天或达到误期违约金最高限额时，甲方有权解除合同，甲方解除合同的通知自到达乙方时生效。在此情况下，乙方给甲方造成的实际损失高于违约金的，对高出违约金的部分乙方应予以赔偿。</w:t>
      </w:r>
    </w:p>
    <w:p w14:paraId="73B397BF">
      <w:pPr>
        <w:pStyle w:val="32"/>
        <w:rPr>
          <w:rFonts w:hint="eastAsia"/>
        </w:rPr>
      </w:pPr>
      <w:r>
        <w:rPr>
          <w:rFonts w:hint="eastAsia"/>
        </w:rPr>
        <w:t>11.2 甲方违约</w:t>
      </w:r>
    </w:p>
    <w:p w14:paraId="6847C73A">
      <w:pPr>
        <w:pStyle w:val="32"/>
        <w:rPr>
          <w:rFonts w:hint="eastAsia"/>
        </w:rPr>
      </w:pPr>
      <w:r>
        <w:rPr>
          <w:rFonts w:hint="eastAsia"/>
        </w:rPr>
        <w:t>11.2.1 甲方无正当理由拒收乙方服务成果，甲方应向乙方支付拒付合同价款</w:t>
      </w:r>
      <w:r>
        <w:rPr>
          <w:rFonts w:hint="eastAsia"/>
          <w:u w:val="single"/>
        </w:rPr>
        <w:t xml:space="preserve"> 0.1 </w:t>
      </w:r>
      <w:r>
        <w:rPr>
          <w:rFonts w:hint="eastAsia"/>
        </w:rPr>
        <w:t>％的违约金/次。</w:t>
      </w:r>
    </w:p>
    <w:p w14:paraId="3D5CCFC4">
      <w:pPr>
        <w:pStyle w:val="32"/>
        <w:rPr>
          <w:rFonts w:hint="eastAsia"/>
        </w:rPr>
      </w:pPr>
      <w:r>
        <w:rPr>
          <w:rFonts w:hint="eastAsia"/>
        </w:rPr>
        <w:t>11.2.2 甲方未按合同规定的期限向乙方支付合同款的，每逾期1天甲方向乙方支付逾期价款的</w:t>
      </w:r>
      <w:r>
        <w:rPr>
          <w:rFonts w:hint="eastAsia"/>
          <w:u w:val="single"/>
        </w:rPr>
        <w:t xml:space="preserve"> /  </w:t>
      </w:r>
      <w:r>
        <w:rPr>
          <w:rFonts w:hint="eastAsia"/>
        </w:rPr>
        <w:t>‰违约金，但累计违约金总额不超过逾期价款的</w:t>
      </w:r>
      <w:r>
        <w:rPr>
          <w:rFonts w:hint="eastAsia"/>
          <w:u w:val="single"/>
        </w:rPr>
        <w:t xml:space="preserve"> 3 </w:t>
      </w:r>
      <w:r>
        <w:rPr>
          <w:rFonts w:hint="eastAsia"/>
        </w:rPr>
        <w:t>％。</w:t>
      </w:r>
    </w:p>
    <w:p w14:paraId="1FEF1670">
      <w:pPr>
        <w:pStyle w:val="32"/>
        <w:rPr>
          <w:rFonts w:hint="eastAsia"/>
        </w:rPr>
      </w:pPr>
      <w:r>
        <w:rPr>
          <w:rFonts w:hint="eastAsia"/>
        </w:rPr>
        <w:t>11.3 其它未尽事宜，以《民法典》等有关法律法规规定为准，无相关规定的，双方协商解决。</w:t>
      </w:r>
    </w:p>
    <w:p w14:paraId="0478DF3C">
      <w:pPr>
        <w:pStyle w:val="32"/>
        <w:ind w:firstLine="422"/>
        <w:rPr>
          <w:rFonts w:hint="eastAsia"/>
          <w:b/>
        </w:rPr>
      </w:pPr>
      <w:r>
        <w:rPr>
          <w:rFonts w:hint="eastAsia"/>
          <w:b/>
        </w:rPr>
        <w:t>12. 合同解除</w:t>
      </w:r>
    </w:p>
    <w:p w14:paraId="6F7AB226">
      <w:pPr>
        <w:pStyle w:val="32"/>
        <w:rPr>
          <w:rFonts w:hint="eastAsia"/>
        </w:rPr>
      </w:pPr>
      <w:r>
        <w:rPr>
          <w:rFonts w:hint="eastAsia"/>
        </w:rPr>
        <w:t>12.1 乙方违约时合同解除</w:t>
      </w:r>
    </w:p>
    <w:p w14:paraId="055147CC">
      <w:pPr>
        <w:pStyle w:val="32"/>
        <w:rPr>
          <w:rFonts w:hint="eastAsia"/>
        </w:rPr>
      </w:pPr>
      <w:r>
        <w:rPr>
          <w:rFonts w:hint="eastAsia"/>
        </w:rPr>
        <w:t>12.1.1 发生下列情形时，在甲方对乙方违约提出警告无效的情况下，甲方可以书面形式通知乙方，提出解除合同。</w:t>
      </w:r>
    </w:p>
    <w:p w14:paraId="45CDE6DB">
      <w:pPr>
        <w:pStyle w:val="32"/>
        <w:rPr>
          <w:rFonts w:hint="eastAsia"/>
        </w:rPr>
      </w:pPr>
      <w:r>
        <w:rPr>
          <w:rFonts w:hint="eastAsia"/>
        </w:rPr>
        <w:t>（1）如果乙方未能在合同规定的时间内或未能在包括但不限于甲方同意延长的期限内提供部分或全部合同服务；</w:t>
      </w:r>
    </w:p>
    <w:p w14:paraId="087DC755">
      <w:pPr>
        <w:pStyle w:val="32"/>
        <w:rPr>
          <w:rFonts w:hint="eastAsia"/>
        </w:rPr>
      </w:pPr>
      <w:r>
        <w:rPr>
          <w:rFonts w:hint="eastAsia"/>
        </w:rPr>
        <w:t>（2）如果乙方未能履行合同约定的义务；</w:t>
      </w:r>
    </w:p>
    <w:p w14:paraId="5DC68B1A">
      <w:pPr>
        <w:pStyle w:val="32"/>
        <w:rPr>
          <w:rFonts w:hint="eastAsia"/>
        </w:rPr>
      </w:pPr>
      <w:r>
        <w:rPr>
          <w:rFonts w:hint="eastAsia"/>
        </w:rPr>
        <w:t>12.2 乙方破产时解除合同</w:t>
      </w:r>
    </w:p>
    <w:p w14:paraId="0F549F89">
      <w:pPr>
        <w:pStyle w:val="32"/>
        <w:rPr>
          <w:rFonts w:hint="eastAsia"/>
        </w:rPr>
      </w:pPr>
      <w:r>
        <w:rPr>
          <w:rFonts w:hint="eastAsia"/>
        </w:rPr>
        <w:t>如果乙方破产或无清偿债务的能力，导致合同不能履行时，甲方可以以书面形式通知乙方解除合同而不对乙方进行任何补偿。同时该解除合同将不损害或影响甲方已经采取或将要采取的任何行动或补救措施的任何权利。</w:t>
      </w:r>
    </w:p>
    <w:p w14:paraId="71EE18BF">
      <w:pPr>
        <w:pStyle w:val="32"/>
        <w:rPr>
          <w:rFonts w:hint="eastAsia"/>
        </w:rPr>
      </w:pPr>
      <w:r>
        <w:rPr>
          <w:rFonts w:hint="eastAsia"/>
        </w:rPr>
        <w:t>12.3 甲方违约解除合同</w:t>
      </w:r>
    </w:p>
    <w:p w14:paraId="0A5F4207">
      <w:pPr>
        <w:pStyle w:val="32"/>
        <w:rPr>
          <w:rFonts w:hint="eastAsia"/>
        </w:rPr>
      </w:pPr>
      <w:r>
        <w:rPr>
          <w:rFonts w:hint="eastAsia"/>
        </w:rPr>
        <w:t>如果甲方无法继续履行或明确表示不履行或实质上已停止履行合同，乙方可以书面形式通知甲方，提出解除合同。解除合同不免除甲方承担的违约责任。</w:t>
      </w:r>
    </w:p>
    <w:p w14:paraId="470B23B0">
      <w:pPr>
        <w:pStyle w:val="32"/>
        <w:rPr>
          <w:rFonts w:hint="eastAsia"/>
        </w:rPr>
      </w:pPr>
      <w:r>
        <w:rPr>
          <w:rFonts w:hint="eastAsia"/>
        </w:rPr>
        <w:t>12.4 甲方解除合同后的结清</w:t>
      </w:r>
    </w:p>
    <w:p w14:paraId="2CFCDF12">
      <w:pPr>
        <w:pStyle w:val="32"/>
        <w:rPr>
          <w:rFonts w:hint="eastAsia"/>
        </w:rPr>
      </w:pPr>
      <w:r>
        <w:rPr>
          <w:rFonts w:hint="eastAsia"/>
        </w:rPr>
        <w:t>因乙方违约或破产，甲方提出解除合同的，在甲方通知乙方解除合同</w:t>
      </w:r>
      <w:r>
        <w:rPr>
          <w:rFonts w:hint="eastAsia"/>
          <w:u w:val="single"/>
        </w:rPr>
        <w:t xml:space="preserve"> 14   </w:t>
      </w:r>
      <w:r>
        <w:rPr>
          <w:rFonts w:hint="eastAsia"/>
        </w:rPr>
        <w:t>天内，乙方向甲方提交有关资料和凭证，按下列方式结清。</w:t>
      </w:r>
    </w:p>
    <w:p w14:paraId="0E0F77EF">
      <w:pPr>
        <w:pStyle w:val="32"/>
        <w:rPr>
          <w:rFonts w:hint="eastAsia"/>
        </w:rPr>
      </w:pPr>
      <w:r>
        <w:rPr>
          <w:rFonts w:hint="eastAsia"/>
        </w:rPr>
        <w:t>（1）乙方应将一切与合同有关的并已付款的文件、资料交付给甲方。</w:t>
      </w:r>
    </w:p>
    <w:p w14:paraId="219C9BB7">
      <w:pPr>
        <w:pStyle w:val="32"/>
        <w:rPr>
          <w:rFonts w:hint="eastAsia"/>
        </w:rPr>
      </w:pPr>
      <w:r>
        <w:rPr>
          <w:rFonts w:hint="eastAsia"/>
        </w:rPr>
        <w:t>（2）甲方应清查各项付款和已扣款金额，包括按合同约定的违约扣款，以及由于解除合同给甲方造成损失的违约金额，并做详细说明。</w:t>
      </w:r>
    </w:p>
    <w:p w14:paraId="3383C077">
      <w:pPr>
        <w:pStyle w:val="32"/>
        <w:rPr>
          <w:rFonts w:hint="eastAsia"/>
        </w:rPr>
      </w:pPr>
      <w:r>
        <w:rPr>
          <w:rFonts w:hint="eastAsia"/>
        </w:rPr>
        <w:t>（4）甲乙双方确认上述往来款项和违约金额后，结清合同价款。</w:t>
      </w:r>
    </w:p>
    <w:p w14:paraId="42E900EA">
      <w:pPr>
        <w:pStyle w:val="32"/>
        <w:rPr>
          <w:rFonts w:hint="eastAsia"/>
        </w:rPr>
      </w:pPr>
      <w:r>
        <w:rPr>
          <w:rFonts w:hint="eastAsia"/>
        </w:rPr>
        <w:t>（5）甲乙双方未能就解除合同后的结清达成一致而形成争议的，按合同约定办理。</w:t>
      </w:r>
    </w:p>
    <w:p w14:paraId="054F35E1">
      <w:pPr>
        <w:pStyle w:val="32"/>
        <w:rPr>
          <w:rFonts w:hint="eastAsia"/>
        </w:rPr>
      </w:pPr>
      <w:r>
        <w:rPr>
          <w:rFonts w:hint="eastAsia"/>
        </w:rPr>
        <w:t>12.5 乙方解除合同的结清</w:t>
      </w:r>
    </w:p>
    <w:p w14:paraId="1508B508">
      <w:pPr>
        <w:pStyle w:val="32"/>
        <w:rPr>
          <w:rFonts w:hint="eastAsia"/>
        </w:rPr>
      </w:pPr>
      <w:r>
        <w:rPr>
          <w:rFonts w:hint="eastAsia"/>
        </w:rPr>
        <w:t>因甲方违约乙方提出解除合同的，在乙方通知甲方解除合同</w:t>
      </w:r>
      <w:r>
        <w:rPr>
          <w:rFonts w:hint="eastAsia"/>
          <w:u w:val="single"/>
        </w:rPr>
        <w:t xml:space="preserve"> 14  </w:t>
      </w:r>
      <w:r>
        <w:rPr>
          <w:rFonts w:hint="eastAsia"/>
        </w:rPr>
        <w:t>天内，乙方向甲方提交有关资料和凭证，按下列方式结清。</w:t>
      </w:r>
    </w:p>
    <w:p w14:paraId="5D305C08">
      <w:pPr>
        <w:pStyle w:val="32"/>
        <w:rPr>
          <w:rFonts w:hint="eastAsia"/>
        </w:rPr>
      </w:pPr>
      <w:r>
        <w:rPr>
          <w:rFonts w:hint="eastAsia"/>
        </w:rPr>
        <w:t>（1）乙方应将一切与合同有关的并已付款的文件、资料交付给甲方。</w:t>
      </w:r>
    </w:p>
    <w:p w14:paraId="1583042A">
      <w:pPr>
        <w:pStyle w:val="32"/>
        <w:rPr>
          <w:rFonts w:hint="eastAsia"/>
        </w:rPr>
      </w:pPr>
      <w:r>
        <w:rPr>
          <w:rFonts w:hint="eastAsia"/>
        </w:rPr>
        <w:t>（2）乙方应清查已交付的合同服务金额，甲方已支付的金额，甲方未支付的金额，以及由于解除合同给乙方造成损失的违约金额，并做详细说明。</w:t>
      </w:r>
    </w:p>
    <w:p w14:paraId="7A801A85">
      <w:pPr>
        <w:pStyle w:val="32"/>
        <w:rPr>
          <w:rFonts w:hint="eastAsia"/>
        </w:rPr>
      </w:pPr>
      <w:r>
        <w:rPr>
          <w:rFonts w:hint="eastAsia"/>
        </w:rPr>
        <w:t>（3）甲乙双方确认上述往来款项和违约金额后，结清合同价款，甲方应退还质量保证金和履约保证金。</w:t>
      </w:r>
    </w:p>
    <w:p w14:paraId="3A0D1C3A">
      <w:pPr>
        <w:pStyle w:val="32"/>
        <w:rPr>
          <w:rFonts w:hint="eastAsia"/>
        </w:rPr>
      </w:pPr>
      <w:r>
        <w:rPr>
          <w:rFonts w:hint="eastAsia"/>
        </w:rPr>
        <w:t>（4）甲乙双方未能就解除合同后的结清达成一致而形成争议的，按合同约定办理。</w:t>
      </w:r>
    </w:p>
    <w:p w14:paraId="08E3D4F4">
      <w:pPr>
        <w:pStyle w:val="32"/>
        <w:ind w:firstLine="422"/>
        <w:rPr>
          <w:rFonts w:hint="eastAsia"/>
          <w:b/>
        </w:rPr>
      </w:pPr>
      <w:r>
        <w:rPr>
          <w:rFonts w:hint="eastAsia"/>
          <w:b/>
        </w:rPr>
        <w:t>13. 履约保证金</w:t>
      </w:r>
    </w:p>
    <w:p w14:paraId="77A05E88">
      <w:pPr>
        <w:pStyle w:val="32"/>
        <w:rPr>
          <w:rFonts w:hint="eastAsia"/>
        </w:rPr>
      </w:pPr>
      <w:r>
        <w:rPr>
          <w:rFonts w:hint="eastAsia"/>
        </w:rPr>
        <w:t>13.1 乙方应向甲方提交提交履约保证金，履约保证金用于补偿甲方因乙方不能履行其合同义务而蒙受的损失。</w:t>
      </w:r>
    </w:p>
    <w:p w14:paraId="57A32319">
      <w:pPr>
        <w:pStyle w:val="32"/>
        <w:rPr>
          <w:rFonts w:hint="eastAsia"/>
          <w:u w:val="single"/>
        </w:rPr>
      </w:pPr>
      <w:r>
        <w:rPr>
          <w:rFonts w:hint="eastAsia"/>
        </w:rPr>
        <w:t>履约保证金金额：</w:t>
      </w:r>
      <w:r>
        <w:rPr>
          <w:rFonts w:hint="eastAsia"/>
          <w:u w:val="single"/>
        </w:rPr>
        <w:t xml:space="preserve">                  </w:t>
      </w:r>
    </w:p>
    <w:p w14:paraId="4F802F13">
      <w:pPr>
        <w:pStyle w:val="32"/>
        <w:rPr>
          <w:rFonts w:hint="eastAsia"/>
        </w:rPr>
      </w:pPr>
      <w:r>
        <w:rPr>
          <w:rFonts w:hint="eastAsia"/>
        </w:rPr>
        <w:t>履约保证金形式：</w:t>
      </w:r>
      <w:r>
        <w:rPr>
          <w:rFonts w:hint="eastAsia"/>
          <w:u w:val="single"/>
        </w:rPr>
        <w:t xml:space="preserve">                  </w:t>
      </w:r>
    </w:p>
    <w:p w14:paraId="02F1BAC8">
      <w:pPr>
        <w:pStyle w:val="32"/>
        <w:rPr>
          <w:rFonts w:hint="eastAsia"/>
        </w:rPr>
      </w:pPr>
      <w:r>
        <w:rPr>
          <w:rFonts w:hint="eastAsia"/>
        </w:rPr>
        <w:t>履约保证金提交时间：</w:t>
      </w:r>
      <w:r>
        <w:rPr>
          <w:rFonts w:hint="eastAsia"/>
          <w:u w:val="single"/>
        </w:rPr>
        <w:t xml:space="preserve">              </w:t>
      </w:r>
    </w:p>
    <w:p w14:paraId="1435C695">
      <w:pPr>
        <w:pStyle w:val="32"/>
        <w:rPr>
          <w:rFonts w:hint="eastAsia"/>
        </w:rPr>
      </w:pPr>
      <w:r>
        <w:rPr>
          <w:rFonts w:hint="eastAsia"/>
        </w:rPr>
        <w:t>13.2履约保证金的有效期为合同服务最后一批服务成果验收合格后</w:t>
      </w:r>
      <w:r>
        <w:rPr>
          <w:rFonts w:hint="eastAsia"/>
          <w:u w:val="single"/>
        </w:rPr>
        <w:t xml:space="preserve">  </w:t>
      </w:r>
      <w:r>
        <w:rPr>
          <w:rFonts w:hint="eastAsia"/>
        </w:rPr>
        <w:t>天。</w:t>
      </w:r>
    </w:p>
    <w:p w14:paraId="319D33FD">
      <w:pPr>
        <w:pStyle w:val="32"/>
        <w:rPr>
          <w:rFonts w:hint="eastAsia"/>
        </w:rPr>
      </w:pPr>
      <w:r>
        <w:rPr>
          <w:rFonts w:hint="eastAsia"/>
        </w:rPr>
        <w:t>13.3履约保证金在合同服务成果验收合格后</w:t>
      </w:r>
      <w:r>
        <w:rPr>
          <w:rFonts w:hint="eastAsia"/>
          <w:u w:val="single"/>
        </w:rPr>
        <w:t xml:space="preserve">  </w:t>
      </w:r>
      <w:r>
        <w:rPr>
          <w:rFonts w:hint="eastAsia"/>
        </w:rPr>
        <w:t>天内退还。</w:t>
      </w:r>
    </w:p>
    <w:p w14:paraId="004E3273">
      <w:pPr>
        <w:pStyle w:val="32"/>
        <w:rPr>
          <w:rFonts w:hint="eastAsia"/>
        </w:rPr>
      </w:pPr>
      <w:r>
        <w:rPr>
          <w:rFonts w:hint="eastAsia"/>
        </w:rPr>
        <w:t>13.4 履约保证金因乙方原因导致服务期限延长，其履约保证金有效期应相应延长。</w:t>
      </w:r>
    </w:p>
    <w:p w14:paraId="6E39C904">
      <w:pPr>
        <w:pStyle w:val="32"/>
        <w:rPr>
          <w:rFonts w:hint="eastAsia"/>
        </w:rPr>
      </w:pPr>
      <w:r>
        <w:rPr>
          <w:rFonts w:hint="eastAsia"/>
        </w:rPr>
        <w:t>13.5 发生下列之一者，则不予退还履约保证金：</w:t>
      </w:r>
    </w:p>
    <w:p w14:paraId="4B585FF4">
      <w:pPr>
        <w:pStyle w:val="32"/>
        <w:rPr>
          <w:rFonts w:hint="eastAsia"/>
        </w:rPr>
      </w:pPr>
      <w:r>
        <w:rPr>
          <w:rFonts w:hint="eastAsia"/>
        </w:rPr>
        <w:t>（1）乙方发生违约行为而完全终止合同；</w:t>
      </w:r>
    </w:p>
    <w:p w14:paraId="79A298AF">
      <w:pPr>
        <w:pStyle w:val="32"/>
        <w:rPr>
          <w:rFonts w:hint="eastAsia"/>
        </w:rPr>
      </w:pPr>
      <w:r>
        <w:rPr>
          <w:rFonts w:hint="eastAsia"/>
        </w:rPr>
        <w:t>（2）乙方不履行实质性的投标承诺。</w:t>
      </w:r>
    </w:p>
    <w:p w14:paraId="6C216EB7">
      <w:pPr>
        <w:pStyle w:val="32"/>
        <w:rPr>
          <w:rFonts w:hint="eastAsia"/>
        </w:rPr>
      </w:pPr>
      <w:r>
        <w:rPr>
          <w:rFonts w:hint="eastAsia"/>
        </w:rPr>
        <w:t>13.6 履约保证金的退还或不予退还并不免除乙方对已交付服务的质量责任。</w:t>
      </w:r>
    </w:p>
    <w:p w14:paraId="543EF35E">
      <w:pPr>
        <w:pStyle w:val="32"/>
        <w:ind w:firstLine="422"/>
        <w:rPr>
          <w:rFonts w:hint="eastAsia"/>
          <w:b/>
        </w:rPr>
      </w:pPr>
      <w:r>
        <w:rPr>
          <w:rFonts w:hint="eastAsia"/>
          <w:b/>
        </w:rPr>
        <w:t>14. 不可抗力</w:t>
      </w:r>
    </w:p>
    <w:p w14:paraId="7F2BAA90">
      <w:pPr>
        <w:pStyle w:val="32"/>
        <w:rPr>
          <w:rFonts w:hint="eastAsia"/>
        </w:rPr>
      </w:pPr>
      <w:r>
        <w:rPr>
          <w:rFonts w:hint="eastAsia"/>
        </w:rPr>
        <w:t>14.1 如果合同任何一方受诸如战争、严重的火灾、台风、地震、洪水以及任何其他不能预见、不能避免且不能克服的不可抗力事件的影响而无法履行合同项下的任何义务，受影响的一方应将此类事件的发生通知合同另一方，并应在不可抗力事件发生后</w:t>
      </w:r>
      <w:r>
        <w:rPr>
          <w:rFonts w:hint="eastAsia"/>
          <w:u w:val="single"/>
        </w:rPr>
        <w:t xml:space="preserve"> 14 </w:t>
      </w:r>
      <w:r>
        <w:rPr>
          <w:rFonts w:hint="eastAsia"/>
        </w:rPr>
        <w:t>天内书面说明不可抗力和受阻碍的详细情况，并提供必要的证明。</w:t>
      </w:r>
    </w:p>
    <w:p w14:paraId="4BFF06B2">
      <w:pPr>
        <w:pStyle w:val="32"/>
        <w:rPr>
          <w:rFonts w:hint="eastAsia"/>
        </w:rPr>
      </w:pPr>
      <w:r>
        <w:rPr>
          <w:rFonts w:hint="eastAsia"/>
        </w:rPr>
        <w:t>14.2 受不可抗力事件影响的合同一方对于不可抗力事件导致的任何合同义务的迟延履行或不能履行不承担责任。但该合同方应尽快将不可抗力事件结束或其影响消除的情况通知合同另一方。双方由此产生的损失不得向对方提出索赔要求，也不承担误期赔偿或终止合同的责任。</w:t>
      </w:r>
    </w:p>
    <w:p w14:paraId="2B853916">
      <w:pPr>
        <w:pStyle w:val="32"/>
        <w:rPr>
          <w:rFonts w:hint="eastAsia"/>
        </w:rPr>
      </w:pPr>
      <w:r>
        <w:rPr>
          <w:rFonts w:hint="eastAsia"/>
        </w:rPr>
        <w:t>14.3 合同双方应在不可抗力事件结束或其影响消除后，立即继续履行其合同义务，合同期限也应相应延长。如果不可抗力事件的影响持续超过</w:t>
      </w:r>
      <w:r>
        <w:rPr>
          <w:rFonts w:hint="eastAsia"/>
          <w:u w:val="single"/>
        </w:rPr>
        <w:t xml:space="preserve"> 14 </w:t>
      </w:r>
      <w:r>
        <w:rPr>
          <w:rFonts w:hint="eastAsia"/>
        </w:rPr>
        <w:t>天，合同任何一方均有权以书面形式通知对方部分或全部终止合同。</w:t>
      </w:r>
    </w:p>
    <w:p w14:paraId="293BC788">
      <w:pPr>
        <w:pStyle w:val="32"/>
        <w:rPr>
          <w:rFonts w:hint="eastAsia"/>
        </w:rPr>
      </w:pPr>
      <w:r>
        <w:rPr>
          <w:rFonts w:hint="eastAsia"/>
        </w:rPr>
        <w:t>14.4 因不可抗力终止合同的结清参照第12.4款规定办理。</w:t>
      </w:r>
    </w:p>
    <w:p w14:paraId="3ADC613F">
      <w:pPr>
        <w:pStyle w:val="32"/>
        <w:ind w:firstLine="422"/>
        <w:rPr>
          <w:rFonts w:hint="eastAsia"/>
          <w:b/>
        </w:rPr>
      </w:pPr>
      <w:r>
        <w:rPr>
          <w:rFonts w:hint="eastAsia"/>
          <w:b/>
        </w:rPr>
        <w:t>15. 税费</w:t>
      </w:r>
    </w:p>
    <w:p w14:paraId="69ABD424">
      <w:pPr>
        <w:pStyle w:val="32"/>
        <w:rPr>
          <w:rFonts w:hint="eastAsia"/>
        </w:rPr>
      </w:pPr>
      <w:r>
        <w:rPr>
          <w:rFonts w:hint="eastAsia"/>
        </w:rPr>
        <w:t>15.1 按现行税法规定向甲方征收的与本合同有关的一切税费均由甲方负责。</w:t>
      </w:r>
    </w:p>
    <w:p w14:paraId="4FF16535">
      <w:pPr>
        <w:pStyle w:val="32"/>
        <w:rPr>
          <w:rFonts w:hint="eastAsia"/>
        </w:rPr>
      </w:pPr>
      <w:r>
        <w:rPr>
          <w:rFonts w:hint="eastAsia"/>
        </w:rPr>
        <w:t>15.2 按现行税法规定向乙方征收的与本合同有关的一切税费均由乙方负责。</w:t>
      </w:r>
    </w:p>
    <w:p w14:paraId="5FBF3D0A">
      <w:pPr>
        <w:pStyle w:val="32"/>
        <w:ind w:firstLine="422"/>
        <w:rPr>
          <w:rFonts w:hint="eastAsia"/>
          <w:b/>
        </w:rPr>
      </w:pPr>
      <w:r>
        <w:rPr>
          <w:rFonts w:hint="eastAsia"/>
          <w:b/>
        </w:rPr>
        <w:t>16. 争议的解决</w:t>
      </w:r>
    </w:p>
    <w:p w14:paraId="0E317184">
      <w:pPr>
        <w:pStyle w:val="32"/>
        <w:rPr>
          <w:rFonts w:hint="eastAsia"/>
        </w:rPr>
      </w:pPr>
      <w:r>
        <w:rPr>
          <w:rFonts w:hint="eastAsia"/>
        </w:rPr>
        <w:t>16.1 合同履行过程中出现争议时，甲乙双方应本着公平、合理的原则，及时友好协商解决。如在</w:t>
      </w:r>
      <w:r>
        <w:rPr>
          <w:rFonts w:hint="eastAsia"/>
          <w:u w:val="single"/>
        </w:rPr>
        <w:t xml:space="preserve">  30 </w:t>
      </w:r>
      <w:r>
        <w:rPr>
          <w:rFonts w:hint="eastAsia"/>
        </w:rPr>
        <w:t>天内未能解决，按下列第</w:t>
      </w:r>
      <w:r>
        <w:rPr>
          <w:rFonts w:hint="eastAsia"/>
          <w:u w:val="single"/>
        </w:rPr>
        <w:t xml:space="preserve">     </w:t>
      </w:r>
      <w:r>
        <w:rPr>
          <w:rFonts w:hint="eastAsia"/>
        </w:rPr>
        <w:t>种方式解决：</w:t>
      </w:r>
    </w:p>
    <w:p w14:paraId="66167E75">
      <w:pPr>
        <w:pStyle w:val="32"/>
        <w:rPr>
          <w:rFonts w:hint="eastAsia"/>
        </w:rPr>
      </w:pPr>
      <w:r>
        <w:rPr>
          <w:rFonts w:hint="eastAsia"/>
        </w:rPr>
        <w:t>（1）向</w:t>
      </w:r>
      <w:r>
        <w:rPr>
          <w:rFonts w:hint="eastAsia"/>
          <w:u w:val="single"/>
        </w:rPr>
        <w:t xml:space="preserve">           </w:t>
      </w:r>
      <w:r>
        <w:rPr>
          <w:rFonts w:hint="eastAsia"/>
        </w:rPr>
        <w:t>仲裁委员会申请仲裁；</w:t>
      </w:r>
    </w:p>
    <w:p w14:paraId="6B48FFDC">
      <w:pPr>
        <w:pStyle w:val="32"/>
        <w:rPr>
          <w:rFonts w:hint="eastAsia"/>
        </w:rPr>
      </w:pPr>
      <w:r>
        <w:rPr>
          <w:rFonts w:hint="eastAsia"/>
        </w:rPr>
        <w:t>（2）向</w:t>
      </w:r>
      <w:r>
        <w:rPr>
          <w:rFonts w:hint="eastAsia"/>
          <w:u w:val="single"/>
        </w:rPr>
        <w:t xml:space="preserve">   项目所在地        </w:t>
      </w:r>
      <w:r>
        <w:rPr>
          <w:rFonts w:hint="eastAsia"/>
        </w:rPr>
        <w:t>人民法院起诉。</w:t>
      </w:r>
    </w:p>
    <w:p w14:paraId="121F7813">
      <w:pPr>
        <w:pStyle w:val="32"/>
        <w:rPr>
          <w:rFonts w:hint="eastAsia"/>
        </w:rPr>
      </w:pPr>
      <w:r>
        <w:rPr>
          <w:rFonts w:hint="eastAsia"/>
        </w:rPr>
        <w:t>16.2 在争议期间，除存在争议的部分外，本合同其它部分应继续履行。</w:t>
      </w:r>
    </w:p>
    <w:p w14:paraId="36E602E5">
      <w:pPr>
        <w:pStyle w:val="32"/>
        <w:ind w:firstLine="422"/>
        <w:rPr>
          <w:rFonts w:hint="eastAsia"/>
          <w:b/>
        </w:rPr>
      </w:pPr>
      <w:r>
        <w:rPr>
          <w:rFonts w:hint="eastAsia"/>
          <w:b/>
        </w:rPr>
        <w:t>17. 适用法律</w:t>
      </w:r>
    </w:p>
    <w:p w14:paraId="398DF145">
      <w:pPr>
        <w:pStyle w:val="32"/>
        <w:rPr>
          <w:rFonts w:hint="eastAsia"/>
        </w:rPr>
      </w:pPr>
      <w:r>
        <w:rPr>
          <w:rFonts w:hint="eastAsia"/>
        </w:rPr>
        <w:t>本合同应按照中华人民共和国的法律进行解释。</w:t>
      </w:r>
    </w:p>
    <w:p w14:paraId="5FB321DE">
      <w:pPr>
        <w:pStyle w:val="32"/>
        <w:ind w:firstLine="422"/>
        <w:rPr>
          <w:rFonts w:hint="eastAsia"/>
          <w:b/>
        </w:rPr>
      </w:pPr>
      <w:r>
        <w:rPr>
          <w:rFonts w:hint="eastAsia"/>
          <w:b/>
        </w:rPr>
        <w:t>18. 合同生效</w:t>
      </w:r>
    </w:p>
    <w:p w14:paraId="586D80CB">
      <w:pPr>
        <w:pStyle w:val="32"/>
        <w:rPr>
          <w:rFonts w:hint="eastAsia"/>
        </w:rPr>
      </w:pPr>
      <w:r>
        <w:rPr>
          <w:rFonts w:hint="eastAsia"/>
        </w:rPr>
        <w:t>除法律另有规定外，甲方和乙方的法定代表人（单位负责人）或其委托代理人在合同协议书上签字并盖单位章后，合同生效。</w:t>
      </w:r>
    </w:p>
    <w:p w14:paraId="11B91F5E">
      <w:pPr>
        <w:pStyle w:val="32"/>
        <w:ind w:firstLine="422"/>
        <w:rPr>
          <w:rFonts w:hint="eastAsia"/>
          <w:b/>
        </w:rPr>
      </w:pPr>
      <w:r>
        <w:rPr>
          <w:rFonts w:hint="eastAsia"/>
          <w:b/>
        </w:rPr>
        <w:t>19. 合同附件</w:t>
      </w:r>
    </w:p>
    <w:p w14:paraId="6B99B71D">
      <w:pPr>
        <w:pStyle w:val="32"/>
        <w:rPr>
          <w:rFonts w:hint="eastAsia"/>
        </w:rPr>
      </w:pPr>
      <w:r>
        <w:rPr>
          <w:rFonts w:hint="eastAsia"/>
        </w:rPr>
        <w:t>按合同协议书规定的合同组成部分作为合同附件。</w:t>
      </w:r>
    </w:p>
    <w:p w14:paraId="6ED15D8C">
      <w:pPr>
        <w:pStyle w:val="32"/>
        <w:ind w:firstLine="422"/>
        <w:rPr>
          <w:rFonts w:hint="eastAsia"/>
          <w:b/>
        </w:rPr>
      </w:pPr>
      <w:r>
        <w:rPr>
          <w:rFonts w:hint="eastAsia"/>
          <w:b/>
        </w:rPr>
        <w:t>20. 补充条款</w:t>
      </w:r>
    </w:p>
    <w:p w14:paraId="49EB0C52">
      <w:pPr>
        <w:pStyle w:val="32"/>
        <w:rPr>
          <w:rFonts w:hint="eastAsia"/>
          <w:u w:val="single"/>
        </w:rPr>
      </w:pPr>
      <w:r>
        <w:rPr>
          <w:rFonts w:hint="eastAsia"/>
          <w:u w:val="single"/>
        </w:rPr>
        <w:t xml:space="preserve">                                                                       </w:t>
      </w:r>
    </w:p>
    <w:p w14:paraId="2C0C22DE">
      <w:pPr>
        <w:pStyle w:val="32"/>
        <w:ind w:firstLine="422"/>
        <w:rPr>
          <w:rFonts w:hint="eastAsia"/>
          <w:b/>
        </w:rPr>
      </w:pPr>
      <w:r>
        <w:rPr>
          <w:rFonts w:hint="eastAsia"/>
          <w:b/>
        </w:rPr>
        <w:t>21. 其他</w:t>
      </w:r>
    </w:p>
    <w:p w14:paraId="7E7C4E02">
      <w:pPr>
        <w:pStyle w:val="32"/>
        <w:rPr>
          <w:rFonts w:hint="eastAsia"/>
        </w:rPr>
      </w:pPr>
      <w:r>
        <w:rPr>
          <w:rFonts w:hint="eastAsia"/>
        </w:rPr>
        <w:t>本合同一式</w:t>
      </w:r>
      <w:r>
        <w:rPr>
          <w:rFonts w:hint="eastAsia"/>
          <w:u w:val="single"/>
        </w:rPr>
        <w:t xml:space="preserve">    </w:t>
      </w:r>
      <w:r>
        <w:rPr>
          <w:rFonts w:hint="eastAsia"/>
        </w:rPr>
        <w:t>份，甲、乙双方各执</w:t>
      </w:r>
      <w:r>
        <w:rPr>
          <w:rFonts w:hint="eastAsia"/>
          <w:u w:val="single"/>
        </w:rPr>
        <w:t xml:space="preserve">    </w:t>
      </w:r>
      <w:r>
        <w:rPr>
          <w:rFonts w:hint="eastAsia"/>
        </w:rPr>
        <w:t>份。</w:t>
      </w:r>
    </w:p>
    <w:p w14:paraId="60368222">
      <w:pPr>
        <w:pStyle w:val="32"/>
        <w:rPr>
          <w:rFonts w:hint="eastAsia"/>
        </w:rPr>
      </w:pPr>
      <w:r>
        <w:rPr>
          <w:rFonts w:hint="eastAsia"/>
        </w:rPr>
        <w:t xml:space="preserve"> </w:t>
      </w:r>
    </w:p>
    <w:p w14:paraId="7BF7FEB8">
      <w:pPr>
        <w:pStyle w:val="32"/>
        <w:rPr>
          <w:rFonts w:hint="eastAsia"/>
        </w:rPr>
      </w:pPr>
      <w:r>
        <w:rPr>
          <w:rFonts w:hint="eastAsia"/>
        </w:rPr>
        <w:t>甲   方：                        乙   方：</w:t>
      </w:r>
    </w:p>
    <w:p w14:paraId="4210E7D3">
      <w:pPr>
        <w:pStyle w:val="32"/>
        <w:rPr>
          <w:rFonts w:hint="eastAsia"/>
        </w:rPr>
      </w:pPr>
      <w:r>
        <w:rPr>
          <w:rFonts w:hint="eastAsia"/>
        </w:rPr>
        <w:t>名称：（盖章）                    名称：（盖章）</w:t>
      </w:r>
    </w:p>
    <w:p w14:paraId="1AFF18D0">
      <w:pPr>
        <w:pStyle w:val="32"/>
        <w:rPr>
          <w:rFonts w:hint="eastAsia"/>
        </w:rPr>
      </w:pPr>
      <w:r>
        <w:rPr>
          <w:rFonts w:hint="eastAsia"/>
        </w:rPr>
        <w:t>地址：                           地址：</w:t>
      </w:r>
    </w:p>
    <w:p w14:paraId="54AA8143">
      <w:pPr>
        <w:pStyle w:val="32"/>
        <w:rPr>
          <w:rFonts w:hint="eastAsia"/>
        </w:rPr>
      </w:pPr>
      <w:r>
        <w:rPr>
          <w:rFonts w:hint="eastAsia"/>
        </w:rPr>
        <w:t>法定代表人（签字）：              法定代表人（签字）：</w:t>
      </w:r>
    </w:p>
    <w:p w14:paraId="60C00FA1">
      <w:pPr>
        <w:pStyle w:val="32"/>
        <w:rPr>
          <w:rFonts w:hint="eastAsia"/>
        </w:rPr>
      </w:pPr>
      <w:r>
        <w:rPr>
          <w:rFonts w:hint="eastAsia"/>
        </w:rPr>
        <w:t>授权代表（签字）：                授权代表（签字）：</w:t>
      </w:r>
    </w:p>
    <w:p w14:paraId="088DBF88">
      <w:pPr>
        <w:pStyle w:val="32"/>
        <w:rPr>
          <w:rFonts w:hint="eastAsia"/>
        </w:rPr>
      </w:pPr>
      <w:r>
        <w:rPr>
          <w:rFonts w:hint="eastAsia"/>
        </w:rPr>
        <w:t>开户银行：                       开户银行：</w:t>
      </w:r>
    </w:p>
    <w:p w14:paraId="13ECA351">
      <w:pPr>
        <w:pStyle w:val="32"/>
        <w:rPr>
          <w:rFonts w:hint="eastAsia"/>
        </w:rPr>
      </w:pPr>
      <w:r>
        <w:rPr>
          <w:rFonts w:hint="eastAsia"/>
        </w:rPr>
        <w:t>银行账号：                       银行账号：</w:t>
      </w:r>
    </w:p>
    <w:p w14:paraId="2C9DDF91">
      <w:pPr>
        <w:pStyle w:val="32"/>
        <w:rPr>
          <w:rFonts w:hint="eastAsia"/>
        </w:rPr>
      </w:pPr>
      <w:r>
        <w:rPr>
          <w:rFonts w:hint="eastAsia"/>
        </w:rPr>
        <w:t>时间：         年     月     日</w:t>
      </w:r>
    </w:p>
    <w:p w14:paraId="2CCBB96B">
      <w:pPr>
        <w:pStyle w:val="32"/>
        <w:rPr>
          <w:rFonts w:hint="eastAsia"/>
        </w:rPr>
      </w:pPr>
      <w:r>
        <w:rPr>
          <w:rFonts w:hint="eastAsia"/>
        </w:rPr>
        <w:t xml:space="preserve"> </w:t>
      </w:r>
    </w:p>
    <w:p w14:paraId="6D224855">
      <w:pPr>
        <w:pStyle w:val="32"/>
        <w:rPr>
          <w:rFonts w:hint="eastAsia"/>
        </w:rPr>
      </w:pPr>
      <w:r>
        <w:rPr>
          <w:rFonts w:hint="eastAsia"/>
        </w:rPr>
        <w:t>附件</w:t>
      </w:r>
    </w:p>
    <w:p w14:paraId="18B6891A">
      <w:pPr>
        <w:pStyle w:val="32"/>
        <w:rPr>
          <w:rFonts w:hint="eastAsia"/>
        </w:rPr>
      </w:pPr>
      <w:r>
        <w:rPr>
          <w:rFonts w:hint="eastAsia"/>
        </w:rPr>
        <w:t>附件1：合同协议书</w:t>
      </w:r>
    </w:p>
    <w:p w14:paraId="1A641781">
      <w:pPr>
        <w:pStyle w:val="32"/>
        <w:rPr>
          <w:rFonts w:hint="eastAsia"/>
        </w:rPr>
      </w:pPr>
      <w:r>
        <w:rPr>
          <w:rFonts w:hint="eastAsia"/>
        </w:rPr>
        <w:t>附件2：履约保证金</w:t>
      </w:r>
    </w:p>
    <w:p w14:paraId="07F719C0">
      <w:pPr>
        <w:pStyle w:val="32"/>
        <w:rPr>
          <w:rFonts w:hint="eastAsia"/>
        </w:rPr>
      </w:pPr>
      <w:r>
        <w:rPr>
          <w:rFonts w:hint="eastAsia"/>
        </w:rPr>
        <w:t>附件3：廉政协议</w:t>
      </w:r>
    </w:p>
    <w:p w14:paraId="09673FD2">
      <w:pPr>
        <w:pStyle w:val="32"/>
        <w:rPr>
          <w:rFonts w:hint="eastAsia"/>
        </w:rPr>
      </w:pPr>
      <w:r>
        <w:rPr>
          <w:rFonts w:hint="eastAsia"/>
        </w:rPr>
        <w:t xml:space="preserve"> </w:t>
      </w:r>
    </w:p>
    <w:p w14:paraId="2AD5724C">
      <w:pPr>
        <w:pStyle w:val="32"/>
        <w:rPr>
          <w:rFonts w:hint="eastAsia"/>
        </w:rPr>
      </w:pPr>
      <w:r>
        <w:rPr>
          <w:rFonts w:hint="eastAsia"/>
        </w:rPr>
        <w:t xml:space="preserve"> </w:t>
      </w:r>
    </w:p>
    <w:p w14:paraId="4936519C">
      <w:pPr>
        <w:pStyle w:val="32"/>
        <w:rPr>
          <w:rFonts w:hint="eastAsia"/>
        </w:rPr>
        <w:sectPr>
          <w:pgSz w:w="11906" w:h="16838"/>
          <w:pgMar w:top="1134" w:right="1134" w:bottom="1134" w:left="1134" w:header="851" w:footer="992" w:gutter="0"/>
          <w:cols w:space="720" w:num="1"/>
          <w:docGrid w:type="lines" w:linePitch="312" w:charSpace="0"/>
        </w:sectPr>
      </w:pPr>
    </w:p>
    <w:p w14:paraId="2FCA84E0">
      <w:pPr>
        <w:pStyle w:val="32"/>
        <w:ind w:firstLine="422"/>
        <w:rPr>
          <w:rFonts w:hint="eastAsia"/>
          <w:b/>
        </w:rPr>
      </w:pPr>
      <w:r>
        <w:rPr>
          <w:rFonts w:hint="eastAsia"/>
          <w:b/>
        </w:rPr>
        <w:t>第二节  合同附件格式</w:t>
      </w:r>
    </w:p>
    <w:p w14:paraId="30EDB279">
      <w:pPr>
        <w:pStyle w:val="32"/>
        <w:ind w:firstLine="422"/>
        <w:rPr>
          <w:rFonts w:hint="eastAsia"/>
          <w:b/>
        </w:rPr>
      </w:pPr>
      <w:r>
        <w:rPr>
          <w:rFonts w:hint="eastAsia"/>
          <w:b/>
        </w:rPr>
        <w:t>附件一：合同协议书</w:t>
      </w:r>
    </w:p>
    <w:p w14:paraId="3785A70D">
      <w:pPr>
        <w:pStyle w:val="32"/>
        <w:jc w:val="center"/>
        <w:rPr>
          <w:rFonts w:hint="eastAsia"/>
        </w:rPr>
      </w:pPr>
      <w:r>
        <w:rPr>
          <w:rFonts w:hint="eastAsia"/>
        </w:rPr>
        <w:t>合同协议书</w:t>
      </w:r>
    </w:p>
    <w:p w14:paraId="463842C7">
      <w:pPr>
        <w:pStyle w:val="32"/>
        <w:rPr>
          <w:rFonts w:hint="eastAsia"/>
        </w:rPr>
      </w:pPr>
      <w:r>
        <w:rPr>
          <w:rFonts w:hint="eastAsia"/>
        </w:rPr>
        <w:t xml:space="preserve"> </w:t>
      </w:r>
    </w:p>
    <w:p w14:paraId="6F0BD313">
      <w:pPr>
        <w:pStyle w:val="32"/>
        <w:rPr>
          <w:rFonts w:hint="eastAsia"/>
        </w:rPr>
      </w:pPr>
      <w:r>
        <w:rPr>
          <w:rFonts w:hint="eastAsia"/>
          <w:u w:val="single"/>
        </w:rPr>
        <w:tab/>
      </w:r>
      <w:r>
        <w:rPr>
          <w:rFonts w:hint="eastAsia"/>
        </w:rPr>
        <w:t>（甲方名称，以下简称“甲方”）为获得</w:t>
      </w:r>
      <w:r>
        <w:rPr>
          <w:rFonts w:hint="eastAsia"/>
          <w:u w:val="single"/>
        </w:rPr>
        <w:tab/>
      </w:r>
      <w:r>
        <w:rPr>
          <w:rFonts w:hint="eastAsia"/>
        </w:rPr>
        <w:t>（采购项目名称）合同相关服务，已接受</w:t>
      </w:r>
      <w:r>
        <w:rPr>
          <w:rFonts w:hint="eastAsia"/>
          <w:u w:val="single"/>
        </w:rPr>
        <w:tab/>
      </w:r>
      <w:r>
        <w:rPr>
          <w:rFonts w:hint="eastAsia"/>
        </w:rPr>
        <w:t>（乙方名称，以下简称“乙方”）为提供上述合同服务所作的投标，甲方和乙方共同达成如下协议：</w:t>
      </w:r>
    </w:p>
    <w:p w14:paraId="12C723FA">
      <w:pPr>
        <w:pStyle w:val="32"/>
        <w:rPr>
          <w:rFonts w:hint="eastAsia"/>
        </w:rPr>
      </w:pPr>
      <w:r>
        <w:rPr>
          <w:rFonts w:hint="eastAsia"/>
        </w:rPr>
        <w:t>1.本协议书与下列文件一起构成合同文件：</w:t>
      </w:r>
    </w:p>
    <w:p w14:paraId="613F42B8">
      <w:pPr>
        <w:pStyle w:val="32"/>
        <w:rPr>
          <w:rFonts w:hint="eastAsia"/>
        </w:rPr>
      </w:pPr>
      <w:r>
        <w:rPr>
          <w:rFonts w:hint="eastAsia"/>
        </w:rPr>
        <w:t>（1）本合同及其补充合同、变更协议；</w:t>
      </w:r>
    </w:p>
    <w:p w14:paraId="69FE3F92">
      <w:pPr>
        <w:pStyle w:val="32"/>
        <w:rPr>
          <w:rFonts w:hint="eastAsia"/>
        </w:rPr>
      </w:pPr>
      <w:r>
        <w:rPr>
          <w:rFonts w:hint="eastAsia"/>
        </w:rPr>
        <w:t>（2）成交通知书；</w:t>
      </w:r>
    </w:p>
    <w:p w14:paraId="46491320">
      <w:pPr>
        <w:pStyle w:val="32"/>
        <w:rPr>
          <w:rFonts w:hint="eastAsia"/>
        </w:rPr>
      </w:pPr>
      <w:r>
        <w:rPr>
          <w:rFonts w:hint="eastAsia"/>
        </w:rPr>
        <w:t>（3）采购文件及附件（含澄清或者修改文件）；</w:t>
      </w:r>
    </w:p>
    <w:p w14:paraId="37078477">
      <w:pPr>
        <w:pStyle w:val="32"/>
        <w:rPr>
          <w:rFonts w:hint="eastAsia"/>
        </w:rPr>
      </w:pPr>
      <w:r>
        <w:rPr>
          <w:rFonts w:hint="eastAsia"/>
        </w:rPr>
        <w:t>（4）响应文件及附件（含澄清或者说明文件）;</w:t>
      </w:r>
    </w:p>
    <w:p w14:paraId="45D16073">
      <w:pPr>
        <w:pStyle w:val="32"/>
        <w:rPr>
          <w:rFonts w:hint="eastAsia"/>
        </w:rPr>
      </w:pPr>
      <w:r>
        <w:rPr>
          <w:rFonts w:hint="eastAsia"/>
        </w:rPr>
        <w:t>（5）其他合同文件。</w:t>
      </w:r>
    </w:p>
    <w:p w14:paraId="54855648">
      <w:pPr>
        <w:pStyle w:val="32"/>
        <w:rPr>
          <w:rFonts w:hint="eastAsia"/>
        </w:rPr>
      </w:pPr>
      <w:r>
        <w:rPr>
          <w:rFonts w:hint="eastAsia"/>
        </w:rPr>
        <w:t>2.上述合同文件互相补充和解释。如果合同文件之间存在矛盾或不一致之处，以上述文件的排列顺序在先者为准。</w:t>
      </w:r>
    </w:p>
    <w:p w14:paraId="4F41F439">
      <w:pPr>
        <w:pStyle w:val="32"/>
        <w:rPr>
          <w:rFonts w:hint="eastAsia"/>
        </w:rPr>
      </w:pPr>
      <w:r>
        <w:rPr>
          <w:rFonts w:hint="eastAsia"/>
        </w:rPr>
        <w:t>3.签约合同价：人民币（大写）</w:t>
      </w:r>
      <w:r>
        <w:rPr>
          <w:rFonts w:hint="eastAsia"/>
          <w:u w:val="single"/>
        </w:rPr>
        <w:tab/>
      </w:r>
      <w:r>
        <w:rPr>
          <w:rFonts w:hint="eastAsia"/>
        </w:rPr>
        <w:t>（¥</w:t>
      </w:r>
      <w:r>
        <w:rPr>
          <w:rFonts w:hint="eastAsia"/>
          <w:u w:val="single"/>
        </w:rPr>
        <w:tab/>
      </w:r>
      <w:r>
        <w:rPr>
          <w:rFonts w:hint="eastAsia"/>
        </w:rPr>
        <w:t>）。</w:t>
      </w:r>
    </w:p>
    <w:p w14:paraId="349EF20C">
      <w:pPr>
        <w:pStyle w:val="32"/>
        <w:rPr>
          <w:rFonts w:hint="eastAsia"/>
        </w:rPr>
      </w:pPr>
      <w:r>
        <w:rPr>
          <w:rFonts w:hint="eastAsia"/>
        </w:rPr>
        <w:t>4.乙方承诺保证完全按照合同约定提供合同服务。</w:t>
      </w:r>
    </w:p>
    <w:p w14:paraId="793DAF73">
      <w:pPr>
        <w:pStyle w:val="32"/>
        <w:rPr>
          <w:rFonts w:hint="eastAsia"/>
        </w:rPr>
      </w:pPr>
      <w:r>
        <w:rPr>
          <w:rFonts w:hint="eastAsia"/>
        </w:rPr>
        <w:t>5.甲方承诺保证按照合同约定的条件、时间和方式向乙方支付合同价款。</w:t>
      </w:r>
    </w:p>
    <w:p w14:paraId="679B67EB">
      <w:pPr>
        <w:pStyle w:val="32"/>
        <w:rPr>
          <w:rFonts w:hint="eastAsia"/>
        </w:rPr>
      </w:pPr>
      <w:r>
        <w:rPr>
          <w:rFonts w:hint="eastAsia"/>
        </w:rPr>
        <w:t>6.本合同协议书一式</w:t>
      </w:r>
      <w:r>
        <w:rPr>
          <w:rFonts w:hint="eastAsia"/>
          <w:u w:val="single"/>
        </w:rPr>
        <w:tab/>
      </w:r>
      <w:r>
        <w:rPr>
          <w:rFonts w:hint="eastAsia"/>
        </w:rPr>
        <w:t>份，合同双方各执</w:t>
      </w:r>
      <w:r>
        <w:rPr>
          <w:rFonts w:hint="eastAsia"/>
          <w:u w:val="single"/>
        </w:rPr>
        <w:tab/>
      </w:r>
      <w:r>
        <w:rPr>
          <w:rFonts w:hint="eastAsia"/>
        </w:rPr>
        <w:t>份。</w:t>
      </w:r>
    </w:p>
    <w:p w14:paraId="3958D65C">
      <w:pPr>
        <w:pStyle w:val="32"/>
        <w:rPr>
          <w:rFonts w:hint="eastAsia"/>
        </w:rPr>
      </w:pPr>
      <w:r>
        <w:rPr>
          <w:rFonts w:hint="eastAsia"/>
        </w:rPr>
        <w:t>7.合同未尽事宜，双方另行签订补充协议，补充协议是合同的组成部分。</w:t>
      </w:r>
    </w:p>
    <w:p w14:paraId="5A7AF1D9">
      <w:pPr>
        <w:pStyle w:val="32"/>
        <w:rPr>
          <w:rFonts w:hint="eastAsia"/>
        </w:rPr>
      </w:pPr>
      <w:r>
        <w:rPr>
          <w:rFonts w:hint="eastAsia"/>
        </w:rPr>
        <w:t xml:space="preserve"> </w:t>
      </w:r>
    </w:p>
    <w:p w14:paraId="3FE0A433">
      <w:pPr>
        <w:pStyle w:val="32"/>
        <w:rPr>
          <w:rFonts w:hint="eastAsia"/>
        </w:rPr>
      </w:pPr>
      <w:r>
        <w:rPr>
          <w:rFonts w:hint="eastAsia"/>
        </w:rPr>
        <w:t>甲方：</w:t>
      </w:r>
      <w:r>
        <w:rPr>
          <w:rFonts w:hint="eastAsia"/>
          <w:u w:val="single"/>
        </w:rPr>
        <w:t xml:space="preserve">                                      </w:t>
      </w:r>
      <w:r>
        <w:rPr>
          <w:rFonts w:hint="eastAsia"/>
        </w:rPr>
        <w:t>（盖单位章）</w:t>
      </w:r>
      <w:r>
        <w:rPr>
          <w:rFonts w:hint="eastAsia"/>
        </w:rPr>
        <w:tab/>
      </w:r>
    </w:p>
    <w:p w14:paraId="782197E9">
      <w:pPr>
        <w:pStyle w:val="32"/>
        <w:rPr>
          <w:rFonts w:hint="eastAsia"/>
        </w:rPr>
      </w:pPr>
      <w:r>
        <w:rPr>
          <w:rFonts w:hint="eastAsia"/>
        </w:rPr>
        <w:t>法定代表人（单位负责人）或其委托代理人：</w:t>
      </w:r>
      <w:r>
        <w:rPr>
          <w:rFonts w:hint="eastAsia"/>
          <w:u w:val="single"/>
        </w:rPr>
        <w:t xml:space="preserve">         </w:t>
      </w:r>
      <w:r>
        <w:rPr>
          <w:rFonts w:hint="eastAsia"/>
        </w:rPr>
        <w:t>（签字）</w:t>
      </w:r>
    </w:p>
    <w:p w14:paraId="4883ABB5">
      <w:pPr>
        <w:pStyle w:val="32"/>
        <w:rPr>
          <w:rFonts w:hint="eastAsia"/>
        </w:rPr>
      </w:pPr>
      <w:r>
        <w:rPr>
          <w:rFonts w:hint="eastAsia"/>
        </w:rPr>
        <w:tab/>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1D71A05">
      <w:pPr>
        <w:pStyle w:val="32"/>
        <w:rPr>
          <w:rFonts w:hint="eastAsia"/>
        </w:rPr>
      </w:pPr>
      <w:r>
        <w:rPr>
          <w:rFonts w:hint="eastAsia"/>
        </w:rPr>
        <w:t>乙方：</w:t>
      </w:r>
      <w:r>
        <w:rPr>
          <w:rFonts w:hint="eastAsia"/>
          <w:u w:val="single"/>
        </w:rPr>
        <w:t xml:space="preserve">                                        </w:t>
      </w:r>
      <w:r>
        <w:rPr>
          <w:rFonts w:hint="eastAsia"/>
        </w:rPr>
        <w:t>（盖单位章）</w:t>
      </w:r>
    </w:p>
    <w:p w14:paraId="1B95D7F2">
      <w:pPr>
        <w:pStyle w:val="32"/>
        <w:rPr>
          <w:rFonts w:hint="eastAsia"/>
        </w:rPr>
      </w:pPr>
      <w:r>
        <w:rPr>
          <w:rFonts w:hint="eastAsia"/>
        </w:rPr>
        <w:t>法定代表人（单位负责人）或其委托代理人：</w:t>
      </w:r>
      <w:r>
        <w:rPr>
          <w:rFonts w:hint="eastAsia"/>
          <w:u w:val="single"/>
        </w:rPr>
        <w:t xml:space="preserve">          </w:t>
      </w:r>
      <w:r>
        <w:rPr>
          <w:rFonts w:hint="eastAsia"/>
        </w:rPr>
        <w:t>（签字）</w:t>
      </w:r>
    </w:p>
    <w:p w14:paraId="03BD7C1F">
      <w:pPr>
        <w:pStyle w:val="32"/>
        <w:rPr>
          <w:rFonts w:hint="eastAsia"/>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A13B5C9">
      <w:pPr>
        <w:pStyle w:val="32"/>
        <w:ind w:firstLine="422"/>
        <w:rPr>
          <w:rFonts w:hint="eastAsia"/>
          <w:b/>
        </w:rPr>
      </w:pPr>
      <w:r>
        <w:rPr>
          <w:rFonts w:hint="eastAsia"/>
          <w:b/>
        </w:rPr>
        <w:t xml:space="preserve"> </w:t>
      </w:r>
    </w:p>
    <w:p w14:paraId="7A3B0B9D">
      <w:pPr>
        <w:pStyle w:val="32"/>
        <w:ind w:firstLine="422"/>
        <w:rPr>
          <w:rFonts w:hint="eastAsia"/>
          <w:b/>
        </w:rPr>
      </w:pPr>
      <w:r>
        <w:rPr>
          <w:rFonts w:hint="eastAsia"/>
          <w:b/>
        </w:rPr>
        <w:t>附件二：履约保证金格式</w:t>
      </w:r>
    </w:p>
    <w:p w14:paraId="16726A48">
      <w:pPr>
        <w:pStyle w:val="32"/>
        <w:rPr>
          <w:rFonts w:hint="eastAsia"/>
        </w:rPr>
      </w:pPr>
      <w:r>
        <w:rPr>
          <w:rFonts w:hint="eastAsia"/>
        </w:rPr>
        <w:t>履约保函</w:t>
      </w:r>
    </w:p>
    <w:p w14:paraId="11FED91C">
      <w:pPr>
        <w:pStyle w:val="32"/>
        <w:rPr>
          <w:rFonts w:hint="eastAsia"/>
        </w:rPr>
      </w:pPr>
      <w:r>
        <w:rPr>
          <w:rFonts w:hint="eastAsia"/>
        </w:rPr>
        <w:t xml:space="preserve">编号：             </w:t>
      </w:r>
    </w:p>
    <w:p w14:paraId="658D11B6">
      <w:pPr>
        <w:pStyle w:val="32"/>
        <w:rPr>
          <w:rFonts w:hint="eastAsia"/>
        </w:rPr>
      </w:pPr>
      <w:r>
        <w:rPr>
          <w:rFonts w:hint="eastAsia"/>
        </w:rPr>
        <w:t>致受益人</w:t>
      </w:r>
      <w:r>
        <w:rPr>
          <w:rFonts w:hint="eastAsia"/>
          <w:u w:val="single"/>
        </w:rPr>
        <w:t xml:space="preserve">                       </w:t>
      </w:r>
      <w:r>
        <w:rPr>
          <w:rFonts w:hint="eastAsia"/>
        </w:rPr>
        <w:t>：</w:t>
      </w:r>
    </w:p>
    <w:p w14:paraId="29CE9512">
      <w:pPr>
        <w:pStyle w:val="32"/>
        <w:rPr>
          <w:rFonts w:hint="eastAsia"/>
          <w:b/>
        </w:rPr>
      </w:pPr>
      <w:r>
        <w:rPr>
          <w:rFonts w:hint="eastAsia"/>
        </w:rPr>
        <w:t>因</w:t>
      </w:r>
      <w:r>
        <w:rPr>
          <w:rFonts w:hint="eastAsia"/>
          <w:u w:val="single"/>
        </w:rPr>
        <w:t xml:space="preserve">                </w:t>
      </w:r>
      <w:r>
        <w:rPr>
          <w:rFonts w:hint="eastAsia"/>
        </w:rPr>
        <w:t>（下称“被保证人”，地址：</w:t>
      </w:r>
      <w:r>
        <w:rPr>
          <w:rFonts w:hint="eastAsia"/>
          <w:u w:val="single"/>
        </w:rPr>
        <w:t xml:space="preserve">              </w:t>
      </w:r>
      <w:r>
        <w:rPr>
          <w:rFonts w:hint="eastAsia"/>
        </w:rPr>
        <w:t>）与你方签订了</w:t>
      </w:r>
      <w:r>
        <w:rPr>
          <w:rFonts w:hint="eastAsia"/>
          <w:u w:val="single"/>
        </w:rPr>
        <w:t xml:space="preserve">           </w:t>
      </w:r>
      <w:r>
        <w:rPr>
          <w:rFonts w:hint="eastAsia"/>
        </w:rPr>
        <w:t>项目合同（项目编号：</w:t>
      </w:r>
      <w:r>
        <w:rPr>
          <w:rFonts w:hint="eastAsia"/>
          <w:u w:val="single"/>
        </w:rPr>
        <w:t xml:space="preserve">                </w:t>
      </w:r>
      <w:r>
        <w:rPr>
          <w:rFonts w:hint="eastAsia"/>
        </w:rPr>
        <w:t>），我方愿就被保证人履行上述合同的义务向你方提供如下保证：</w:t>
      </w:r>
    </w:p>
    <w:p w14:paraId="278F6D26">
      <w:pPr>
        <w:pStyle w:val="32"/>
        <w:numPr>
          <w:ilvl w:val="0"/>
          <w:numId w:val="2"/>
        </w:numPr>
        <w:ind w:firstLine="420"/>
        <w:rPr>
          <w:rFonts w:hint="eastAsia"/>
        </w:rPr>
      </w:pPr>
      <w:r>
        <w:rPr>
          <w:rFonts w:hint="eastAsia"/>
        </w:rPr>
        <w:t>本保函项下我方承担的保证责任最高限额（下称“担保金额”）为（币种金额、大写）</w:t>
      </w:r>
      <w:r>
        <w:rPr>
          <w:rFonts w:hint="eastAsia"/>
          <w:u w:val="single"/>
        </w:rPr>
        <w:t xml:space="preserve">人民币                      </w:t>
      </w:r>
      <w:r>
        <w:rPr>
          <w:rFonts w:hint="eastAsia"/>
        </w:rPr>
        <w:t>。</w:t>
      </w:r>
    </w:p>
    <w:p w14:paraId="0DC6E4BB">
      <w:pPr>
        <w:pStyle w:val="32"/>
        <w:rPr>
          <w:rFonts w:hint="eastAsia"/>
        </w:rPr>
      </w:pPr>
      <w:r>
        <w:rPr>
          <w:rFonts w:hint="eastAsia"/>
        </w:rPr>
        <w:t>二、我方在本保函项下提供的保证为</w:t>
      </w:r>
      <w:r>
        <w:rPr>
          <w:rFonts w:hint="eastAsia"/>
          <w:u w:val="single"/>
        </w:rPr>
        <w:t xml:space="preserve">  连带  </w:t>
      </w:r>
      <w:r>
        <w:rPr>
          <w:rFonts w:hint="eastAsia"/>
        </w:rPr>
        <w:t>责任保证。</w:t>
      </w:r>
    </w:p>
    <w:p w14:paraId="2DAAF067">
      <w:pPr>
        <w:pStyle w:val="32"/>
        <w:rPr>
          <w:rFonts w:hint="eastAsia"/>
        </w:rPr>
      </w:pPr>
      <w:r>
        <w:rPr>
          <w:rFonts w:hint="eastAsia"/>
        </w:rPr>
        <w:t>三、本保函的有效期为以下第</w:t>
      </w:r>
      <w:r>
        <w:rPr>
          <w:rFonts w:hint="eastAsia"/>
          <w:u w:val="single"/>
        </w:rPr>
        <w:t xml:space="preserve">    </w:t>
      </w:r>
      <w:r>
        <w:rPr>
          <w:rFonts w:hint="eastAsia"/>
        </w:rPr>
        <w:t>种：</w:t>
      </w:r>
    </w:p>
    <w:p w14:paraId="226B73A5">
      <w:pPr>
        <w:pStyle w:val="32"/>
        <w:rPr>
          <w:rFonts w:hint="eastAsia"/>
        </w:rPr>
      </w:pPr>
      <w:r>
        <w:rPr>
          <w:rFonts w:hint="eastAsia"/>
        </w:rPr>
        <w:t>1.本保函有效期自生效之日起至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14:paraId="66DBFC22">
      <w:pPr>
        <w:pStyle w:val="32"/>
        <w:rPr>
          <w:rFonts w:hint="eastAsia"/>
        </w:rPr>
      </w:pPr>
      <w:r>
        <w:rPr>
          <w:rFonts w:hint="eastAsia"/>
        </w:rPr>
        <w:t>2.</w:t>
      </w:r>
      <w:r>
        <w:rPr>
          <w:rFonts w:hint="eastAsia"/>
          <w:u w:val="single"/>
        </w:rPr>
        <w:t xml:space="preserve">                                /                    </w:t>
      </w:r>
      <w:r>
        <w:rPr>
          <w:rFonts w:hint="eastAsia"/>
        </w:rPr>
        <w:t>。</w:t>
      </w:r>
    </w:p>
    <w:p w14:paraId="1B61F91F">
      <w:pPr>
        <w:pStyle w:val="32"/>
        <w:rPr>
          <w:rFonts w:hint="eastAsia"/>
        </w:rPr>
      </w:pPr>
      <w:r>
        <w:rPr>
          <w:rFonts w:hint="eastAsia"/>
        </w:rPr>
        <w:t>四、在本保函的有效期内，如被保证人违反上述合同的约定给你方造成经济损失的，我方将在收到你方提交的本保函原件及符合下列全部条件的索赔通知后</w:t>
      </w:r>
      <w:r>
        <w:rPr>
          <w:rFonts w:hint="eastAsia"/>
          <w:u w:val="single"/>
        </w:rPr>
        <w:t>10</w:t>
      </w:r>
      <w:r>
        <w:rPr>
          <w:rFonts w:hint="eastAsia"/>
        </w:rPr>
        <w:t>个工作日内，以上述担保金额为限支付你方索赔金额：</w:t>
      </w:r>
    </w:p>
    <w:p w14:paraId="0CE7ED2A">
      <w:pPr>
        <w:pStyle w:val="32"/>
        <w:rPr>
          <w:rFonts w:hint="eastAsia"/>
        </w:rPr>
      </w:pPr>
      <w:r>
        <w:rPr>
          <w:rFonts w:hint="eastAsia"/>
        </w:rPr>
        <w:t>（一）索赔通知必须以书面形式提出，列明索赔金额，并由你方法定代表人（负责人）或授权代理人签字并加盖公章；代理人签署索赔通知的，应当同时提交法定代表人（负责人）签发的授权文件。</w:t>
      </w:r>
    </w:p>
    <w:p w14:paraId="75270278">
      <w:pPr>
        <w:pStyle w:val="32"/>
        <w:rPr>
          <w:rFonts w:hint="eastAsia"/>
        </w:rPr>
      </w:pPr>
      <w:r>
        <w:rPr>
          <w:rFonts w:hint="eastAsia"/>
        </w:rPr>
        <w:t>（二）索赔通知必须同时附有：</w:t>
      </w:r>
    </w:p>
    <w:p w14:paraId="1F0CE4B1">
      <w:pPr>
        <w:pStyle w:val="32"/>
        <w:rPr>
          <w:rFonts w:hint="eastAsia"/>
        </w:rPr>
      </w:pPr>
      <w:r>
        <w:rPr>
          <w:rFonts w:hint="eastAsia"/>
        </w:rPr>
        <w:t>1.一项书面声明，声明索赔款项并未由被保证人或其代理人直接或间接地支付给你方；</w:t>
      </w:r>
    </w:p>
    <w:p w14:paraId="3C0472E7">
      <w:pPr>
        <w:pStyle w:val="32"/>
        <w:rPr>
          <w:rFonts w:hint="eastAsia"/>
        </w:rPr>
      </w:pPr>
      <w:r>
        <w:rPr>
          <w:rFonts w:hint="eastAsia"/>
        </w:rPr>
        <w:t>2. 证明被保证人违反上述合同的约定以及有责任支付你方索赔金额的证据，包括但不限于已发生法律效力的法院判决书或仲裁裁决书等。</w:t>
      </w:r>
    </w:p>
    <w:p w14:paraId="1816467E">
      <w:pPr>
        <w:pStyle w:val="32"/>
        <w:rPr>
          <w:rFonts w:hint="eastAsia"/>
        </w:rPr>
      </w:pPr>
      <w:r>
        <w:rPr>
          <w:rFonts w:hint="eastAsia"/>
        </w:rPr>
        <w:t>3.索赔资料应在有效期内送达我方，否则我方不承担责任。</w:t>
      </w:r>
    </w:p>
    <w:p w14:paraId="3A8F3CEB">
      <w:pPr>
        <w:pStyle w:val="32"/>
        <w:rPr>
          <w:rFonts w:hint="eastAsia"/>
        </w:rPr>
      </w:pPr>
      <w:r>
        <w:rPr>
          <w:rFonts w:hint="eastAsia"/>
        </w:rPr>
        <w:t>（三）索赔通知必须在本保函有效期内到达以下地址</w:t>
      </w:r>
      <w:r>
        <w:rPr>
          <w:rFonts w:hint="eastAsia"/>
          <w:u w:val="single"/>
        </w:rPr>
        <w:t xml:space="preserve">                      </w:t>
      </w:r>
      <w:r>
        <w:rPr>
          <w:rFonts w:hint="eastAsia"/>
        </w:rPr>
        <w:t>。</w:t>
      </w:r>
    </w:p>
    <w:p w14:paraId="2F3D8903">
      <w:pPr>
        <w:pStyle w:val="32"/>
        <w:rPr>
          <w:rFonts w:hint="eastAsia"/>
        </w:rPr>
      </w:pPr>
      <w:r>
        <w:rPr>
          <w:rFonts w:hint="eastAsia"/>
        </w:rPr>
        <w:t>五、本保函担保金额将随被保证人逐步履行保函项下合同约定或法定的义务以及我方按你方索赔通知要求分次支付而相应递减。</w:t>
      </w:r>
    </w:p>
    <w:p w14:paraId="12384260">
      <w:pPr>
        <w:pStyle w:val="32"/>
        <w:rPr>
          <w:rFonts w:hint="eastAsia"/>
          <w:iCs/>
        </w:rPr>
      </w:pPr>
      <w:r>
        <w:rPr>
          <w:rFonts w:hint="eastAsia"/>
          <w:iCs/>
        </w:rPr>
        <w:t>六、本保函项下的权利不得转让，不得设定担保。</w:t>
      </w:r>
    </w:p>
    <w:p w14:paraId="29109CF3">
      <w:pPr>
        <w:pStyle w:val="32"/>
        <w:rPr>
          <w:rFonts w:hint="eastAsia"/>
          <w:iCs/>
          <w:u w:val="single"/>
        </w:rPr>
      </w:pPr>
      <w:r>
        <w:rPr>
          <w:rFonts w:hint="eastAsia"/>
          <w:iCs/>
        </w:rPr>
        <w:t>七、本保函项下的合同或基础交易不成立、不生效、无效、被撤销、被解除，本保函无效；被保证人基于保函项下的合同或基础交易或其他原因的抗辩，我方均有权主张。</w:t>
      </w:r>
    </w:p>
    <w:p w14:paraId="49685249">
      <w:pPr>
        <w:pStyle w:val="32"/>
        <w:rPr>
          <w:rFonts w:hint="eastAsia"/>
          <w:iCs/>
        </w:rPr>
      </w:pPr>
      <w:r>
        <w:rPr>
          <w:rFonts w:hint="eastAsia"/>
          <w:iCs/>
        </w:rPr>
        <w:t>八、因本保函发生争议协商解决不成，按以下第</w:t>
      </w:r>
      <w:r>
        <w:rPr>
          <w:rFonts w:hint="eastAsia"/>
          <w:iCs/>
          <w:u w:val="single"/>
        </w:rPr>
        <w:t>（一）</w:t>
      </w:r>
      <w:r>
        <w:rPr>
          <w:rFonts w:hint="eastAsia"/>
          <w:iCs/>
        </w:rPr>
        <w:t>种方式解决：</w:t>
      </w:r>
    </w:p>
    <w:p w14:paraId="7B80DDE4">
      <w:pPr>
        <w:pStyle w:val="32"/>
        <w:rPr>
          <w:rFonts w:hint="eastAsia"/>
          <w:iCs/>
        </w:rPr>
      </w:pPr>
      <w:r>
        <w:rPr>
          <w:rFonts w:hint="eastAsia"/>
          <w:iCs/>
        </w:rPr>
        <w:t>（一）向</w:t>
      </w:r>
      <w:r>
        <w:rPr>
          <w:rFonts w:hint="eastAsia"/>
          <w:iCs/>
          <w:u w:val="single"/>
        </w:rPr>
        <w:t xml:space="preserve">      </w:t>
      </w:r>
      <w:r>
        <w:rPr>
          <w:rFonts w:hint="eastAsia"/>
          <w:iCs/>
        </w:rPr>
        <w:t>所在地的人民法院起诉。</w:t>
      </w:r>
    </w:p>
    <w:p w14:paraId="7F6CBF0B">
      <w:pPr>
        <w:pStyle w:val="32"/>
        <w:rPr>
          <w:rFonts w:hint="eastAsia"/>
          <w:iCs/>
        </w:rPr>
      </w:pPr>
      <w:r>
        <w:rPr>
          <w:rFonts w:hint="eastAsia"/>
          <w:iCs/>
        </w:rPr>
        <w:t>（二）提交</w:t>
      </w:r>
      <w:r>
        <w:rPr>
          <w:rFonts w:hint="eastAsia"/>
          <w:iCs/>
          <w:u w:val="single"/>
        </w:rPr>
        <w:t xml:space="preserve">  /   </w:t>
      </w:r>
      <w:r>
        <w:rPr>
          <w:rFonts w:hint="eastAsia"/>
          <w:iCs/>
        </w:rPr>
        <w:t>仲裁委员会（仲裁地点为</w:t>
      </w:r>
      <w:r>
        <w:rPr>
          <w:rFonts w:hint="eastAsia"/>
          <w:iCs/>
          <w:u w:val="single"/>
        </w:rPr>
        <w:t xml:space="preserve">   /  </w:t>
      </w:r>
      <w:r>
        <w:rPr>
          <w:rFonts w:hint="eastAsia"/>
          <w:iCs/>
        </w:rPr>
        <w:t>）,按照申请仲裁时该会现行有效的仲裁规则进行仲裁。仲裁裁决是终局的，对双方均有约束力。</w:t>
      </w:r>
    </w:p>
    <w:p w14:paraId="7E634C0F">
      <w:pPr>
        <w:pStyle w:val="32"/>
        <w:rPr>
          <w:rFonts w:hint="eastAsia"/>
          <w:iCs/>
        </w:rPr>
      </w:pPr>
      <w:r>
        <w:rPr>
          <w:rFonts w:hint="eastAsia"/>
          <w:iCs/>
        </w:rPr>
        <w:t>八、本保函有效期届满或提前终止，本保函失效，我方在本保函项下的责任消灭，受益人应立即将本保函原件退还我方；受益人未履行上述义务，本保函仍在有效期届至或提前终止之日失效。</w:t>
      </w:r>
    </w:p>
    <w:p w14:paraId="720A927F">
      <w:pPr>
        <w:pStyle w:val="32"/>
        <w:rPr>
          <w:rFonts w:hint="eastAsia"/>
          <w:iCs/>
        </w:rPr>
      </w:pPr>
      <w:r>
        <w:rPr>
          <w:rFonts w:hint="eastAsia"/>
          <w:iCs/>
        </w:rPr>
        <w:t>九、本保函适用中华人民共和国法律。</w:t>
      </w:r>
    </w:p>
    <w:p w14:paraId="5A7DB53F">
      <w:pPr>
        <w:pStyle w:val="32"/>
        <w:rPr>
          <w:rFonts w:hint="eastAsia"/>
          <w:iCs/>
        </w:rPr>
      </w:pPr>
      <w:r>
        <w:rPr>
          <w:rFonts w:hint="eastAsia"/>
          <w:iCs/>
        </w:rPr>
        <w:t>十、其他条款：</w:t>
      </w:r>
    </w:p>
    <w:p w14:paraId="0339147B">
      <w:pPr>
        <w:pStyle w:val="32"/>
        <w:rPr>
          <w:rFonts w:hint="eastAsia"/>
          <w:iCs/>
        </w:rPr>
      </w:pPr>
      <w:r>
        <w:rPr>
          <w:rFonts w:hint="eastAsia"/>
          <w:iCs/>
          <w:u w:val="single"/>
        </w:rPr>
        <w:t xml:space="preserve">                 /              </w:t>
      </w:r>
      <w:r>
        <w:rPr>
          <w:rFonts w:hint="eastAsia"/>
          <w:iCs/>
        </w:rPr>
        <w:t>。</w:t>
      </w:r>
    </w:p>
    <w:p w14:paraId="17B0490B">
      <w:pPr>
        <w:pStyle w:val="32"/>
        <w:rPr>
          <w:rFonts w:hint="eastAsia"/>
          <w:iCs/>
        </w:rPr>
      </w:pPr>
      <w:r>
        <w:rPr>
          <w:rFonts w:hint="eastAsia"/>
          <w:iCs/>
        </w:rPr>
        <w:t>十一、本保函自我方负责人或授权代理人签字并加盖公章之日起生效。</w:t>
      </w:r>
    </w:p>
    <w:p w14:paraId="6F1A1054">
      <w:pPr>
        <w:pStyle w:val="32"/>
        <w:rPr>
          <w:rFonts w:hint="eastAsia"/>
          <w:iCs/>
        </w:rPr>
      </w:pPr>
      <w:r>
        <w:rPr>
          <w:rFonts w:hint="eastAsia"/>
          <w:iCs/>
        </w:rPr>
        <w:t xml:space="preserve"> </w:t>
      </w:r>
    </w:p>
    <w:p w14:paraId="6370F783">
      <w:pPr>
        <w:pStyle w:val="32"/>
        <w:rPr>
          <w:rFonts w:hint="eastAsia"/>
        </w:rPr>
      </w:pPr>
      <w:r>
        <w:rPr>
          <w:rFonts w:hint="eastAsia"/>
        </w:rPr>
        <w:t xml:space="preserve">  保证人（公章）： </w:t>
      </w:r>
      <w:r>
        <w:rPr>
          <w:rFonts w:hint="eastAsia"/>
          <w:iCs/>
          <w:u w:val="single"/>
        </w:rPr>
        <w:t xml:space="preserve">                                    </w:t>
      </w:r>
    </w:p>
    <w:p w14:paraId="7FC2C901">
      <w:pPr>
        <w:pStyle w:val="32"/>
        <w:rPr>
          <w:rFonts w:hint="eastAsia"/>
        </w:rPr>
      </w:pPr>
      <w:r>
        <w:rPr>
          <w:rFonts w:hint="eastAsia"/>
        </w:rPr>
        <w:t>法定代表人（单位负责人）或其委托代理人：</w:t>
      </w:r>
      <w:r>
        <w:rPr>
          <w:rFonts w:hint="eastAsia"/>
          <w:u w:val="single"/>
        </w:rPr>
        <w:t xml:space="preserve">          </w:t>
      </w:r>
      <w:r>
        <w:rPr>
          <w:rFonts w:hint="eastAsia"/>
        </w:rPr>
        <w:t>（签字）</w:t>
      </w:r>
    </w:p>
    <w:p w14:paraId="1FF16024">
      <w:pPr>
        <w:pStyle w:val="32"/>
        <w:rPr>
          <w:rFonts w:hint="eastAsia"/>
          <w:u w:val="single"/>
        </w:rPr>
      </w:pPr>
      <w:r>
        <w:rPr>
          <w:rFonts w:hint="eastAsia"/>
        </w:rPr>
        <w:t>电话：</w:t>
      </w:r>
      <w:r>
        <w:rPr>
          <w:rFonts w:hint="eastAsia"/>
          <w:u w:val="single"/>
        </w:rPr>
        <w:t xml:space="preserve">                                              </w:t>
      </w:r>
    </w:p>
    <w:p w14:paraId="61425FE3">
      <w:pPr>
        <w:pStyle w:val="32"/>
        <w:rPr>
          <w:rFonts w:hint="eastAsia"/>
        </w:rPr>
      </w:pPr>
      <w:r>
        <w:rPr>
          <w:rFonts w:hint="eastAsia"/>
        </w:rPr>
        <w:t xml:space="preserve">               </w:t>
      </w:r>
      <w:r>
        <w:rPr>
          <w:rFonts w:hint="eastAsia"/>
          <w:u w:val="single"/>
        </w:rPr>
        <w:t xml:space="preserve">       </w:t>
      </w:r>
      <w:r>
        <w:rPr>
          <w:rFonts w:hint="eastAsia"/>
        </w:rPr>
        <w:t xml:space="preserve"> 年</w:t>
      </w:r>
      <w:r>
        <w:rPr>
          <w:rFonts w:hint="eastAsia"/>
          <w:u w:val="single"/>
        </w:rPr>
        <w:t xml:space="preserve">      </w:t>
      </w:r>
      <w:r>
        <w:rPr>
          <w:rFonts w:hint="eastAsia"/>
        </w:rPr>
        <w:t xml:space="preserve"> 月</w:t>
      </w:r>
      <w:r>
        <w:rPr>
          <w:rFonts w:hint="eastAsia"/>
          <w:u w:val="single"/>
        </w:rPr>
        <w:t xml:space="preserve">       </w:t>
      </w:r>
      <w:r>
        <w:rPr>
          <w:rFonts w:hint="eastAsia"/>
        </w:rPr>
        <w:t>日</w:t>
      </w:r>
    </w:p>
    <w:p w14:paraId="4D51B040">
      <w:pPr>
        <w:pStyle w:val="32"/>
        <w:rPr>
          <w:rFonts w:hint="eastAsia"/>
        </w:rPr>
      </w:pPr>
      <w:r>
        <w:rPr>
          <w:rFonts w:hint="eastAsia"/>
        </w:rPr>
        <w:br w:type="page"/>
      </w:r>
    </w:p>
    <w:p w14:paraId="39F3AE59">
      <w:pPr>
        <w:pStyle w:val="32"/>
        <w:rPr>
          <w:rFonts w:hint="eastAsia"/>
          <w:b/>
          <w:i/>
          <w:iCs/>
        </w:rPr>
      </w:pPr>
      <w:r>
        <w:rPr>
          <w:rFonts w:hint="eastAsia"/>
        </w:rPr>
        <w:t>附件三：廉政协议</w:t>
      </w:r>
      <w:r>
        <w:rPr>
          <w:rFonts w:hint="eastAsia"/>
          <w:b/>
          <w:i/>
          <w:iCs/>
        </w:rPr>
        <w:t>（仅供编制询比文件时参考）</w:t>
      </w:r>
    </w:p>
    <w:p w14:paraId="1090DA27">
      <w:pPr>
        <w:pStyle w:val="32"/>
        <w:jc w:val="center"/>
        <w:rPr>
          <w:rFonts w:hint="eastAsia"/>
        </w:rPr>
      </w:pPr>
    </w:p>
    <w:p w14:paraId="4BF2EB71">
      <w:pPr>
        <w:pStyle w:val="32"/>
        <w:jc w:val="center"/>
        <w:rPr>
          <w:rFonts w:hint="eastAsia"/>
        </w:rPr>
      </w:pPr>
      <w:r>
        <w:rPr>
          <w:rFonts w:hint="eastAsia"/>
        </w:rPr>
        <w:t>廉政协议</w:t>
      </w:r>
    </w:p>
    <w:p w14:paraId="735DDDCB">
      <w:pPr>
        <w:pStyle w:val="32"/>
        <w:rPr>
          <w:rFonts w:hint="eastAsia"/>
        </w:rPr>
      </w:pPr>
      <w:r>
        <w:rPr>
          <w:rFonts w:hint="eastAsia"/>
        </w:rPr>
        <w:t>为促进双方诚信经营、廉洁从业，防范商业贿赂，保护国家、集体和当事人的合法权益，根据国家有关法律法规和安徽省、【项目所在地】廉政建设的规定，</w:t>
      </w:r>
      <w:r>
        <w:rPr>
          <w:rFonts w:hint="eastAsia"/>
          <w:u w:val="single"/>
        </w:rPr>
        <w:t xml:space="preserve">     </w:t>
      </w:r>
      <w:r>
        <w:rPr>
          <w:rFonts w:hint="eastAsia"/>
        </w:rPr>
        <w:t>（买方名称，以下简称“买方”）与</w:t>
      </w:r>
      <w:r>
        <w:rPr>
          <w:rFonts w:hint="eastAsia"/>
          <w:u w:val="single"/>
        </w:rPr>
        <w:t xml:space="preserve">                     </w:t>
      </w:r>
      <w:r>
        <w:rPr>
          <w:rFonts w:hint="eastAsia"/>
        </w:rPr>
        <w:t>（卖方名称，以下称“卖方”），特此订立本协议共同遵照执行。</w:t>
      </w:r>
    </w:p>
    <w:p w14:paraId="3BA317F4">
      <w:pPr>
        <w:pStyle w:val="32"/>
        <w:rPr>
          <w:rFonts w:hint="eastAsia"/>
        </w:rPr>
      </w:pPr>
      <w:r>
        <w:rPr>
          <w:rFonts w:hint="eastAsia"/>
        </w:rPr>
        <w:t>第一条 买卖双方的权利和义务</w:t>
      </w:r>
    </w:p>
    <w:p w14:paraId="22C2E4B9">
      <w:pPr>
        <w:pStyle w:val="32"/>
        <w:rPr>
          <w:rFonts w:hint="eastAsia"/>
        </w:rPr>
      </w:pPr>
      <w:r>
        <w:rPr>
          <w:rFonts w:hint="eastAsia"/>
        </w:rPr>
        <w:t>（一）买卖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BA691E5">
      <w:pPr>
        <w:pStyle w:val="32"/>
        <w:rPr>
          <w:rFonts w:hint="eastAsia"/>
        </w:rPr>
      </w:pPr>
      <w:r>
        <w:rPr>
          <w:rFonts w:hint="eastAsia"/>
        </w:rPr>
        <w:t>（二）严格执行</w:t>
      </w:r>
      <w:r>
        <w:rPr>
          <w:rFonts w:hint="eastAsia"/>
          <w:u w:val="single"/>
        </w:rPr>
        <w:t xml:space="preserve">                                </w:t>
      </w:r>
      <w:r>
        <w:rPr>
          <w:rFonts w:hint="eastAsia"/>
        </w:rPr>
        <w:t>的合同要求，自觉履行合同约定的相关义务。</w:t>
      </w:r>
    </w:p>
    <w:p w14:paraId="391CC717">
      <w:pPr>
        <w:pStyle w:val="32"/>
        <w:rPr>
          <w:rFonts w:hint="eastAsia"/>
        </w:rPr>
      </w:pPr>
      <w:r>
        <w:rPr>
          <w:rFonts w:hint="eastAsia"/>
        </w:rPr>
        <w:t>（三）在业务活动中坚持公开、公正、诚信、透明的原则，不得损害国家、集体利益。</w:t>
      </w:r>
    </w:p>
    <w:p w14:paraId="34466307">
      <w:pPr>
        <w:pStyle w:val="32"/>
        <w:rPr>
          <w:rFonts w:hint="eastAsia"/>
        </w:rPr>
      </w:pPr>
      <w:r>
        <w:rPr>
          <w:rFonts w:hint="eastAsia"/>
        </w:rPr>
        <w:t>（四）建立健全廉政制度，开展廉政教育，公布举报电话，监督并认真查处违法违纪行为。</w:t>
      </w:r>
    </w:p>
    <w:p w14:paraId="4F289767">
      <w:pPr>
        <w:pStyle w:val="32"/>
        <w:rPr>
          <w:rFonts w:hint="eastAsia"/>
        </w:rPr>
      </w:pPr>
      <w:r>
        <w:rPr>
          <w:rFonts w:hint="eastAsia"/>
        </w:rPr>
        <w:t>（五）发现对方在业务活动中有违反廉政规定的行为，应及时提醒对方纠正。情节严重的，应向其上级有关部门举报、建议给予处理，并有权要求告知处理结果。</w:t>
      </w:r>
    </w:p>
    <w:p w14:paraId="7CDAB4B9">
      <w:pPr>
        <w:pStyle w:val="32"/>
        <w:rPr>
          <w:rFonts w:hint="eastAsia"/>
        </w:rPr>
      </w:pPr>
      <w:r>
        <w:rPr>
          <w:rFonts w:hint="eastAsia"/>
        </w:rPr>
        <w:t>第二条 买方的义务</w:t>
      </w:r>
    </w:p>
    <w:p w14:paraId="1EB88C2E">
      <w:pPr>
        <w:pStyle w:val="32"/>
        <w:rPr>
          <w:rFonts w:hint="eastAsia"/>
        </w:rPr>
      </w:pPr>
      <w:r>
        <w:rPr>
          <w:rFonts w:hint="eastAsia"/>
        </w:rPr>
        <w:t>（一）买方及其工作人员不得索要或接受卖方的礼金、有价证券和贵重物品，不得在卖方报销任何应由买方单位或个人支付的费用等。</w:t>
      </w:r>
    </w:p>
    <w:p w14:paraId="16D87D1B">
      <w:pPr>
        <w:pStyle w:val="32"/>
        <w:rPr>
          <w:rFonts w:hint="eastAsia"/>
        </w:rPr>
      </w:pPr>
      <w:r>
        <w:rPr>
          <w:rFonts w:hint="eastAsia"/>
        </w:rPr>
        <w:t>（二）买方工作人员不得参加卖方安排的可能影响相关业务公开、公正、公平性的宴请和娱乐活动；不得参与任何形式的赌博，严禁通过赌博方式取得卖方及其工作人员的财物；不得接受卖方提供的通讯工具和高档办公用品等。</w:t>
      </w:r>
    </w:p>
    <w:p w14:paraId="04EC4DC8">
      <w:pPr>
        <w:pStyle w:val="32"/>
        <w:rPr>
          <w:rFonts w:hint="eastAsia"/>
        </w:rPr>
      </w:pPr>
      <w:r>
        <w:rPr>
          <w:rFonts w:hint="eastAsia"/>
        </w:rPr>
        <w:t>（三）买方及其工作人员不得要求或者接受卖方为其住房装修、婚丧嫁娶活动、配偶子女工作安排以及出国出境、旅游等提供方便等。</w:t>
      </w:r>
    </w:p>
    <w:p w14:paraId="4E11BA4B">
      <w:pPr>
        <w:pStyle w:val="32"/>
        <w:rPr>
          <w:rFonts w:hint="eastAsia"/>
        </w:rPr>
      </w:pPr>
      <w:r>
        <w:rPr>
          <w:rFonts w:hint="eastAsia"/>
        </w:rPr>
        <w:t>（四）买方工作人员不得在卖方有股权关联的企业兼职，不得向卖方介绍家属或者亲友从事与买方业务有关的经济活动。</w:t>
      </w:r>
    </w:p>
    <w:p w14:paraId="4F0498A5">
      <w:pPr>
        <w:pStyle w:val="32"/>
        <w:rPr>
          <w:rFonts w:hint="eastAsia"/>
        </w:rPr>
      </w:pPr>
      <w:r>
        <w:rPr>
          <w:rFonts w:hint="eastAsia"/>
        </w:rPr>
        <w:t>（五）买方工作人员不得以明显低于市场的价格向卖方购买房屋、汽车等物品；不得以明显高于市场的价格向卖方出售房屋、汽车等物品；不得以其他交易形式非法收受请托人财物。</w:t>
      </w:r>
    </w:p>
    <w:p w14:paraId="3BBBCDEF">
      <w:pPr>
        <w:pStyle w:val="32"/>
        <w:rPr>
          <w:rFonts w:hint="eastAsia"/>
        </w:rPr>
      </w:pPr>
      <w:r>
        <w:rPr>
          <w:rFonts w:hint="eastAsia"/>
        </w:rPr>
        <w:t>（六）买方工作人员不得利用职务之便收受卖方以回扣、手续费、加班费、咨询费、劳务费、协调费、辛苦费等各种名义给予或赠送的钱物。</w:t>
      </w:r>
    </w:p>
    <w:p w14:paraId="39444874">
      <w:pPr>
        <w:pStyle w:val="32"/>
        <w:rPr>
          <w:rFonts w:hint="eastAsia"/>
        </w:rPr>
      </w:pPr>
      <w:r>
        <w:rPr>
          <w:rFonts w:hint="eastAsia"/>
        </w:rPr>
        <w:t>（七）买方工作人员不得接受卖方给予或赠送的干股或红利。</w:t>
      </w:r>
    </w:p>
    <w:p w14:paraId="6EF61FE3">
      <w:pPr>
        <w:pStyle w:val="32"/>
        <w:rPr>
          <w:rFonts w:hint="eastAsia"/>
        </w:rPr>
      </w:pPr>
      <w:r>
        <w:rPr>
          <w:rFonts w:hint="eastAsia"/>
        </w:rPr>
        <w:t>（八）买方任何人不得以个人的名义向卖方推荐设备、部件等供货商以及其它合作单位。</w:t>
      </w:r>
    </w:p>
    <w:p w14:paraId="6D43C9F5">
      <w:pPr>
        <w:pStyle w:val="32"/>
        <w:rPr>
          <w:rFonts w:hint="eastAsia"/>
        </w:rPr>
      </w:pPr>
      <w:r>
        <w:rPr>
          <w:rFonts w:hint="eastAsia"/>
        </w:rPr>
        <w:t>第三条 卖方的义务</w:t>
      </w:r>
    </w:p>
    <w:p w14:paraId="096F37D6">
      <w:pPr>
        <w:pStyle w:val="32"/>
        <w:rPr>
          <w:rFonts w:hint="eastAsia"/>
        </w:rPr>
      </w:pPr>
      <w:r>
        <w:rPr>
          <w:rFonts w:hint="eastAsia"/>
        </w:rPr>
        <w:t>（一）卖方不得以任何理由向买方及其工作人员行贿或馈赠礼金、有价证券、贵重礼品。</w:t>
      </w:r>
    </w:p>
    <w:p w14:paraId="59295B84">
      <w:pPr>
        <w:pStyle w:val="32"/>
        <w:rPr>
          <w:rFonts w:hint="eastAsia"/>
        </w:rPr>
      </w:pPr>
      <w:r>
        <w:rPr>
          <w:rFonts w:hint="eastAsia"/>
        </w:rPr>
        <w:t>（二）卖方不得以任何名义为买方及其工作人员报销应由买方单位或个人支付的任何费用。</w:t>
      </w:r>
    </w:p>
    <w:p w14:paraId="2205FA22">
      <w:pPr>
        <w:pStyle w:val="32"/>
        <w:rPr>
          <w:rFonts w:hint="eastAsia"/>
        </w:rPr>
      </w:pPr>
      <w:r>
        <w:rPr>
          <w:rFonts w:hint="eastAsia"/>
        </w:rPr>
        <w:t>（三）卖方不得以任何理由安排买方工作人员参加可能影响相关业务公开、公正、公平性的宴请及娱乐活动。</w:t>
      </w:r>
    </w:p>
    <w:p w14:paraId="7E470634">
      <w:pPr>
        <w:pStyle w:val="32"/>
        <w:rPr>
          <w:rFonts w:hint="eastAsia"/>
        </w:rPr>
      </w:pPr>
      <w:r>
        <w:rPr>
          <w:rFonts w:hint="eastAsia"/>
        </w:rPr>
        <w:t>（四）卖方不得为买方单位和个人购置或提供通讯工具和高档办公用品等物品，也不得为买方提供与工作无关的房屋、汽车等。</w:t>
      </w:r>
    </w:p>
    <w:p w14:paraId="5B578681">
      <w:pPr>
        <w:pStyle w:val="32"/>
        <w:rPr>
          <w:rFonts w:hint="eastAsia"/>
        </w:rPr>
      </w:pPr>
      <w:r>
        <w:rPr>
          <w:rFonts w:hint="eastAsia"/>
        </w:rPr>
        <w:t>（五）卖方不得与买方工作人员就合同中的质量、数量、价格、工程量、验收等条款进行私下商谈或者达成默契。</w:t>
      </w:r>
    </w:p>
    <w:p w14:paraId="7D7F249B">
      <w:pPr>
        <w:pStyle w:val="32"/>
        <w:rPr>
          <w:rFonts w:hint="eastAsia"/>
        </w:rPr>
      </w:pPr>
      <w:r>
        <w:rPr>
          <w:rFonts w:hint="eastAsia"/>
        </w:rPr>
        <w:t>（六）卖方不得以回扣、手续费、加班费、咨询费、劳务费、协调费、辛苦费等各种名义向买方工作人员给予或赠送钱物。</w:t>
      </w:r>
    </w:p>
    <w:p w14:paraId="7458639B">
      <w:pPr>
        <w:pStyle w:val="32"/>
        <w:rPr>
          <w:rFonts w:hint="eastAsia"/>
        </w:rPr>
      </w:pPr>
      <w:r>
        <w:rPr>
          <w:rFonts w:hint="eastAsia"/>
        </w:rPr>
        <w:t>（七）卖方不得向买方工作人员提供干股或红利。</w:t>
      </w:r>
    </w:p>
    <w:p w14:paraId="2D05E892">
      <w:pPr>
        <w:pStyle w:val="32"/>
        <w:rPr>
          <w:rFonts w:hint="eastAsia"/>
        </w:rPr>
      </w:pPr>
      <w:r>
        <w:rPr>
          <w:rFonts w:hint="eastAsia"/>
        </w:rPr>
        <w:t xml:space="preserve">（八）卖方须按 </w:t>
      </w:r>
      <w:r>
        <w:rPr>
          <w:rFonts w:hint="eastAsia"/>
          <w:u w:val="single"/>
        </w:rPr>
        <w:t xml:space="preserve">        </w:t>
      </w:r>
      <w:r>
        <w:rPr>
          <w:rFonts w:hint="eastAsia"/>
        </w:rPr>
        <w:t>专项纪检监察工作组（如有）要求开展相关工作。</w:t>
      </w:r>
    </w:p>
    <w:p w14:paraId="283A7C7C">
      <w:pPr>
        <w:pStyle w:val="32"/>
        <w:rPr>
          <w:rFonts w:hint="eastAsia"/>
        </w:rPr>
      </w:pPr>
      <w:r>
        <w:rPr>
          <w:rFonts w:hint="eastAsia"/>
        </w:rPr>
        <w:t>第四条 违约责任</w:t>
      </w:r>
    </w:p>
    <w:p w14:paraId="5D83CB3B">
      <w:pPr>
        <w:pStyle w:val="32"/>
        <w:rPr>
          <w:rFonts w:hint="eastAsia"/>
        </w:rPr>
      </w:pPr>
      <w:r>
        <w:rPr>
          <w:rFonts w:hint="eastAsia"/>
        </w:rPr>
        <w:t>（一）买方及其工作人员违反本协议第一、二条规定。买方按管理权限，对相关责任人依据有关规定给予党纪、政纪处分或组织处理；涉嫌犯罪的，移交司法机关追究刑事责任；给卖方单位造成经济损失的，应予以赔偿。</w:t>
      </w:r>
    </w:p>
    <w:p w14:paraId="6168C86C">
      <w:pPr>
        <w:pStyle w:val="32"/>
        <w:rPr>
          <w:rFonts w:hint="eastAsia"/>
        </w:rPr>
      </w:pPr>
      <w:r>
        <w:rPr>
          <w:rFonts w:hint="eastAsia"/>
        </w:rPr>
        <w:t>买方投诉联系部门：</w:t>
      </w:r>
      <w:r>
        <w:rPr>
          <w:rFonts w:hint="eastAsia"/>
          <w:u w:val="single"/>
        </w:rPr>
        <w:t xml:space="preserve">           </w:t>
      </w:r>
      <w:r>
        <w:rPr>
          <w:rFonts w:hint="eastAsia"/>
        </w:rPr>
        <w:t>，联系电话：</w:t>
      </w:r>
      <w:r>
        <w:rPr>
          <w:rFonts w:hint="eastAsia"/>
          <w:u w:val="single"/>
        </w:rPr>
        <w:t xml:space="preserve">           </w:t>
      </w:r>
      <w:r>
        <w:rPr>
          <w:rFonts w:hint="eastAsia"/>
        </w:rPr>
        <w:t>。</w:t>
      </w:r>
    </w:p>
    <w:p w14:paraId="1E61C4B9">
      <w:pPr>
        <w:pStyle w:val="32"/>
        <w:rPr>
          <w:rFonts w:hint="eastAsia"/>
        </w:rPr>
      </w:pPr>
      <w:r>
        <w:rPr>
          <w:rFonts w:hint="eastAsia"/>
        </w:rPr>
        <w:t>（二）卖方及其工作人员违反本协议第一、三条规定。根据具体情节和造成的后果，买方有权对卖方采取以下一种或多种处理办法：</w:t>
      </w:r>
    </w:p>
    <w:p w14:paraId="4E0C6AEA">
      <w:pPr>
        <w:pStyle w:val="32"/>
        <w:rPr>
          <w:rFonts w:hint="eastAsia"/>
        </w:rPr>
      </w:pPr>
      <w:r>
        <w:rPr>
          <w:rFonts w:hint="eastAsia"/>
        </w:rPr>
        <w:t xml:space="preserve">1.全额收取卖方合同履约保证金不予退还； </w:t>
      </w:r>
    </w:p>
    <w:p w14:paraId="7C695C92">
      <w:pPr>
        <w:pStyle w:val="32"/>
        <w:rPr>
          <w:rFonts w:hint="eastAsia"/>
        </w:rPr>
      </w:pPr>
      <w:r>
        <w:rPr>
          <w:rFonts w:hint="eastAsia"/>
        </w:rPr>
        <w:t>2.追究卖方其他违约责任；</w:t>
      </w:r>
    </w:p>
    <w:p w14:paraId="2FB92B0B">
      <w:pPr>
        <w:pStyle w:val="32"/>
        <w:rPr>
          <w:rFonts w:hint="eastAsia"/>
        </w:rPr>
      </w:pPr>
      <w:r>
        <w:rPr>
          <w:rFonts w:hint="eastAsia"/>
        </w:rPr>
        <w:t>3.终止或解除双方已签订的包括本合同在内的所有合同；</w:t>
      </w:r>
    </w:p>
    <w:p w14:paraId="20DEA64C">
      <w:pPr>
        <w:pStyle w:val="32"/>
        <w:rPr>
          <w:rFonts w:hint="eastAsia"/>
        </w:rPr>
      </w:pPr>
      <w:r>
        <w:rPr>
          <w:rFonts w:hint="eastAsia"/>
        </w:rPr>
        <w:t>4.卖方一定期限内（6个月至3年，具体由买方根据情况而定）不得参与买方作为发包人（业主）的项目响应。</w:t>
      </w:r>
    </w:p>
    <w:p w14:paraId="5443D65E">
      <w:pPr>
        <w:pStyle w:val="32"/>
        <w:rPr>
          <w:rFonts w:hint="eastAsia"/>
        </w:rPr>
      </w:pPr>
      <w:r>
        <w:rPr>
          <w:rFonts w:hint="eastAsia"/>
        </w:rPr>
        <w:t>买方作出的处理意见，卖方应无条件接受并承担给买方造成的损失，全额返还通过不正当手段从买方获取的非法所得，并承担相应的法律责任。</w:t>
      </w:r>
    </w:p>
    <w:p w14:paraId="242A83D8">
      <w:pPr>
        <w:pStyle w:val="32"/>
        <w:rPr>
          <w:rFonts w:hint="eastAsia"/>
        </w:rPr>
      </w:pPr>
      <w:r>
        <w:rPr>
          <w:rFonts w:hint="eastAsia"/>
        </w:rPr>
        <w:t>第五条 双方约定</w:t>
      </w:r>
    </w:p>
    <w:p w14:paraId="60395E50">
      <w:pPr>
        <w:pStyle w:val="32"/>
        <w:rPr>
          <w:rFonts w:hint="eastAsia"/>
        </w:rPr>
      </w:pPr>
      <w:r>
        <w:rPr>
          <w:rFonts w:hint="eastAsia"/>
        </w:rPr>
        <w:t>本协议由双方或双方上级单位负责监督。可由买方或买方上级单位的纪检监察部门约请卖方或卖方上级单位的纪检监察部门对本协议履行情况进行检查，提出在本协议规定范围内的裁定意见。</w:t>
      </w:r>
    </w:p>
    <w:p w14:paraId="347A76AB">
      <w:pPr>
        <w:pStyle w:val="32"/>
        <w:rPr>
          <w:rFonts w:hint="eastAsia"/>
        </w:rPr>
      </w:pPr>
      <w:r>
        <w:rPr>
          <w:rFonts w:hint="eastAsia"/>
        </w:rPr>
        <w:t xml:space="preserve">第六条  本协议有效期为买卖双方签署之日起至合同终止。  </w:t>
      </w:r>
    </w:p>
    <w:p w14:paraId="534C36A3">
      <w:pPr>
        <w:pStyle w:val="32"/>
        <w:rPr>
          <w:rFonts w:hint="eastAsia"/>
        </w:rPr>
      </w:pPr>
      <w:r>
        <w:rPr>
          <w:rFonts w:hint="eastAsia"/>
        </w:rPr>
        <w:t>第七条  本协议作为合同的附件，与本合同具有同等法律效力。</w:t>
      </w:r>
    </w:p>
    <w:p w14:paraId="16D3146B">
      <w:pPr>
        <w:pStyle w:val="32"/>
        <w:rPr>
          <w:rFonts w:hint="eastAsia"/>
        </w:rPr>
      </w:pPr>
      <w:r>
        <w:rPr>
          <w:rFonts w:hint="eastAsia"/>
        </w:rPr>
        <w:t xml:space="preserve"> </w:t>
      </w:r>
    </w:p>
    <w:p w14:paraId="7BABB405">
      <w:pPr>
        <w:pStyle w:val="32"/>
        <w:rPr>
          <w:rFonts w:hint="eastAsia"/>
        </w:rPr>
      </w:pPr>
      <w:r>
        <w:rPr>
          <w:rFonts w:hint="eastAsia"/>
        </w:rPr>
        <w:t xml:space="preserve">买方（盖章）： </w:t>
      </w:r>
      <w:r>
        <w:rPr>
          <w:rFonts w:hint="eastAsia"/>
          <w:u w:val="single"/>
        </w:rPr>
        <w:t xml:space="preserve">              </w:t>
      </w:r>
      <w:r>
        <w:rPr>
          <w:rFonts w:hint="eastAsia"/>
        </w:rPr>
        <w:t xml:space="preserve">           卖方（盖章）：</w:t>
      </w:r>
      <w:r>
        <w:rPr>
          <w:rFonts w:hint="eastAsia"/>
          <w:u w:val="single"/>
        </w:rPr>
        <w:t xml:space="preserve">           </w:t>
      </w:r>
    </w:p>
    <w:p w14:paraId="0EF9310A">
      <w:pPr>
        <w:pStyle w:val="32"/>
        <w:rPr>
          <w:rFonts w:hint="eastAsia"/>
        </w:rPr>
      </w:pPr>
      <w:r>
        <w:rPr>
          <w:rFonts w:hint="eastAsia"/>
        </w:rPr>
        <w:t xml:space="preserve"> </w:t>
      </w:r>
    </w:p>
    <w:p w14:paraId="59BD7E87">
      <w:pPr>
        <w:pStyle w:val="32"/>
        <w:rPr>
          <w:rFonts w:hint="eastAsia"/>
        </w:rPr>
      </w:pPr>
      <w:r>
        <w:rPr>
          <w:rFonts w:hint="eastAsia"/>
        </w:rPr>
        <w:t>法定代表人或                            法定代表人或</w:t>
      </w:r>
    </w:p>
    <w:p w14:paraId="4C62C35F">
      <w:pPr>
        <w:pStyle w:val="32"/>
        <w:rPr>
          <w:rFonts w:hint="eastAsia"/>
        </w:rPr>
      </w:pPr>
      <w:r>
        <w:rPr>
          <w:rFonts w:hint="eastAsia"/>
        </w:rPr>
        <w:t>授权代表：</w:t>
      </w:r>
      <w:r>
        <w:rPr>
          <w:rFonts w:hint="eastAsia"/>
          <w:u w:val="single"/>
        </w:rPr>
        <w:t xml:space="preserve">            （</w:t>
      </w:r>
      <w:r>
        <w:rPr>
          <w:rFonts w:hint="eastAsia"/>
        </w:rPr>
        <w:t>职务）           授权代表：</w:t>
      </w:r>
      <w:r>
        <w:rPr>
          <w:rFonts w:hint="eastAsia"/>
          <w:u w:val="single"/>
        </w:rPr>
        <w:t xml:space="preserve">         （</w:t>
      </w:r>
      <w:r>
        <w:rPr>
          <w:rFonts w:hint="eastAsia"/>
        </w:rPr>
        <w:t>职务）</w:t>
      </w:r>
    </w:p>
    <w:p w14:paraId="657EFA89">
      <w:pPr>
        <w:pStyle w:val="32"/>
        <w:rPr>
          <w:rFonts w:hint="eastAsia"/>
        </w:rPr>
      </w:pPr>
      <w:r>
        <w:rPr>
          <w:rFonts w:hint="eastAsia"/>
        </w:rPr>
        <w:t>姓名：</w:t>
      </w:r>
      <w:r>
        <w:rPr>
          <w:rFonts w:hint="eastAsia"/>
          <w:u w:val="single"/>
        </w:rPr>
        <w:t xml:space="preserve">             </w:t>
      </w:r>
      <w:r>
        <w:rPr>
          <w:rFonts w:hint="eastAsia"/>
        </w:rPr>
        <w:t xml:space="preserve">                      姓名：</w:t>
      </w:r>
      <w:r>
        <w:rPr>
          <w:rFonts w:hint="eastAsia"/>
          <w:u w:val="single"/>
        </w:rPr>
        <w:t xml:space="preserve">                  </w:t>
      </w:r>
    </w:p>
    <w:p w14:paraId="0CF912A2">
      <w:pPr>
        <w:pStyle w:val="32"/>
        <w:rPr>
          <w:rFonts w:hint="eastAsia"/>
        </w:rPr>
      </w:pPr>
      <w:r>
        <w:rPr>
          <w:rFonts w:hint="eastAsia"/>
        </w:rPr>
        <w:t>签字：</w:t>
      </w:r>
      <w:r>
        <w:rPr>
          <w:rFonts w:hint="eastAsia"/>
          <w:u w:val="single"/>
        </w:rPr>
        <w:t xml:space="preserve">             </w:t>
      </w:r>
      <w:r>
        <w:rPr>
          <w:rFonts w:hint="eastAsia"/>
        </w:rPr>
        <w:t xml:space="preserve">                      签字：</w:t>
      </w:r>
      <w:r>
        <w:rPr>
          <w:rFonts w:hint="eastAsia"/>
          <w:u w:val="single"/>
        </w:rPr>
        <w:t xml:space="preserve">                  </w:t>
      </w:r>
    </w:p>
    <w:p w14:paraId="121A284F">
      <w:pPr>
        <w:pStyle w:val="32"/>
        <w:rPr>
          <w:rFonts w:hint="eastAsia"/>
        </w:rPr>
      </w:pPr>
      <w:r>
        <w:rPr>
          <w:rFonts w:hint="eastAsia"/>
        </w:rPr>
        <w:t xml:space="preserve"> </w:t>
      </w:r>
    </w:p>
    <w:p w14:paraId="0583921B">
      <w:pPr>
        <w:pStyle w:val="32"/>
        <w:rPr>
          <w:rFonts w:hint="eastAsia"/>
        </w:rPr>
      </w:pPr>
      <w:r>
        <w:rPr>
          <w:rFonts w:hint="eastAsia"/>
        </w:rPr>
        <w:t>廉政监督联系人                           廉政监督联系人</w:t>
      </w:r>
    </w:p>
    <w:p w14:paraId="47EEF622">
      <w:pPr>
        <w:pStyle w:val="32"/>
        <w:rPr>
          <w:rFonts w:hint="eastAsia"/>
        </w:rPr>
      </w:pPr>
      <w:r>
        <w:rPr>
          <w:rFonts w:hint="eastAsia"/>
        </w:rPr>
        <w:t>姓名：</w:t>
      </w:r>
      <w:r>
        <w:rPr>
          <w:rFonts w:hint="eastAsia"/>
          <w:u w:val="single"/>
        </w:rPr>
        <w:t xml:space="preserve">                       </w:t>
      </w:r>
      <w:r>
        <w:rPr>
          <w:rFonts w:hint="eastAsia"/>
        </w:rPr>
        <w:t xml:space="preserve">            姓名：</w:t>
      </w:r>
      <w:r>
        <w:rPr>
          <w:rFonts w:hint="eastAsia"/>
          <w:u w:val="single"/>
        </w:rPr>
        <w:t xml:space="preserve">                  </w:t>
      </w:r>
    </w:p>
    <w:p w14:paraId="6B93647A">
      <w:pPr>
        <w:pStyle w:val="32"/>
        <w:rPr>
          <w:rFonts w:hint="eastAsia"/>
        </w:rPr>
      </w:pPr>
      <w:r>
        <w:rPr>
          <w:rFonts w:hint="eastAsia"/>
        </w:rPr>
        <w:t>签字：</w:t>
      </w:r>
      <w:r>
        <w:rPr>
          <w:rFonts w:hint="eastAsia"/>
          <w:u w:val="single"/>
        </w:rPr>
        <w:t xml:space="preserve">                       </w:t>
      </w:r>
      <w:r>
        <w:rPr>
          <w:rFonts w:hint="eastAsia"/>
        </w:rPr>
        <w:t xml:space="preserve">            签字：</w:t>
      </w:r>
      <w:r>
        <w:rPr>
          <w:rFonts w:hint="eastAsia"/>
          <w:u w:val="single"/>
        </w:rPr>
        <w:t xml:space="preserve">                  </w:t>
      </w:r>
    </w:p>
    <w:p w14:paraId="46AD7631">
      <w:pPr>
        <w:pStyle w:val="32"/>
        <w:rPr>
          <w:rFonts w:hint="eastAsia"/>
        </w:rPr>
      </w:pPr>
      <w:r>
        <w:rPr>
          <w:rFonts w:hint="eastAsia"/>
        </w:rPr>
        <w:t>电话：</w:t>
      </w:r>
      <w:r>
        <w:rPr>
          <w:rFonts w:hint="eastAsia"/>
          <w:u w:val="single"/>
        </w:rPr>
        <w:t xml:space="preserve">                       </w:t>
      </w:r>
      <w:r>
        <w:rPr>
          <w:rFonts w:hint="eastAsia"/>
        </w:rPr>
        <w:t xml:space="preserve">            电话：</w:t>
      </w:r>
      <w:r>
        <w:rPr>
          <w:rFonts w:hint="eastAsia"/>
          <w:u w:val="single"/>
        </w:rPr>
        <w:t xml:space="preserve">                  </w:t>
      </w:r>
    </w:p>
    <w:p w14:paraId="63317214">
      <w:pPr>
        <w:pStyle w:val="32"/>
        <w:rPr>
          <w:rFonts w:hint="eastAsia"/>
        </w:rPr>
      </w:pPr>
      <w:r>
        <w:rPr>
          <w:rFonts w:hint="eastAsia"/>
        </w:rPr>
        <w:t>地址：</w:t>
      </w:r>
      <w:r>
        <w:rPr>
          <w:rFonts w:hint="eastAsia"/>
          <w:u w:val="single"/>
        </w:rPr>
        <w:t xml:space="preserve">                       </w:t>
      </w:r>
      <w:r>
        <w:rPr>
          <w:rFonts w:hint="eastAsia"/>
        </w:rPr>
        <w:t xml:space="preserve">            地址：</w:t>
      </w:r>
      <w:r>
        <w:rPr>
          <w:rFonts w:hint="eastAsia"/>
          <w:u w:val="single"/>
        </w:rPr>
        <w:t xml:space="preserve">                  </w:t>
      </w:r>
    </w:p>
    <w:p w14:paraId="3444A8C5">
      <w:pPr>
        <w:pStyle w:val="32"/>
        <w:rPr>
          <w:rFonts w:hint="eastAsia"/>
        </w:rPr>
      </w:pPr>
      <w:r>
        <w:rPr>
          <w:rFonts w:hint="eastAsia"/>
        </w:rPr>
        <w:t>日期：</w:t>
      </w:r>
      <w:r>
        <w:rPr>
          <w:rFonts w:hint="eastAsia"/>
          <w:u w:val="single"/>
        </w:rPr>
        <w:t xml:space="preserve">                       </w:t>
      </w:r>
      <w:r>
        <w:rPr>
          <w:rFonts w:hint="eastAsia"/>
        </w:rPr>
        <w:t xml:space="preserve">            日期：</w:t>
      </w:r>
      <w:r>
        <w:rPr>
          <w:rFonts w:hint="eastAsia"/>
          <w:u w:val="single"/>
        </w:rPr>
        <w:t xml:space="preserve">                  </w:t>
      </w:r>
    </w:p>
    <w:p w14:paraId="4E0CA32E">
      <w:pPr>
        <w:pStyle w:val="32"/>
        <w:rPr>
          <w:rFonts w:hint="eastAsia"/>
        </w:rPr>
      </w:pPr>
    </w:p>
    <w:p w14:paraId="072C3C19">
      <w:pPr>
        <w:pStyle w:val="32"/>
        <w:rPr>
          <w:rFonts w:hint="eastAsia"/>
        </w:rPr>
      </w:pPr>
    </w:p>
    <w:p w14:paraId="04D3DD8D">
      <w:pPr>
        <w:pStyle w:val="32"/>
        <w:rPr>
          <w:rFonts w:hint="eastAsia"/>
        </w:rPr>
      </w:pPr>
    </w:p>
    <w:p w14:paraId="45911167">
      <w:pPr>
        <w:pStyle w:val="32"/>
        <w:rPr>
          <w:rFonts w:hint="eastAsia"/>
        </w:rPr>
      </w:pPr>
    </w:p>
    <w:p w14:paraId="2E2DB19B">
      <w:pPr>
        <w:pStyle w:val="32"/>
        <w:rPr>
          <w:rFonts w:hint="eastAsia"/>
        </w:rPr>
      </w:pPr>
    </w:p>
    <w:p w14:paraId="65C1D754">
      <w:pPr>
        <w:pStyle w:val="32"/>
        <w:rPr>
          <w:rFonts w:hint="eastAsia"/>
        </w:rPr>
      </w:pPr>
    </w:p>
    <w:p w14:paraId="6C2DE463">
      <w:pPr>
        <w:pStyle w:val="32"/>
        <w:rPr>
          <w:rFonts w:hint="eastAsia"/>
        </w:rPr>
      </w:pPr>
    </w:p>
    <w:p w14:paraId="4CC8C930">
      <w:pPr>
        <w:rPr>
          <w:rFonts w:hint="eastAsia" w:ascii="仿宋" w:hAnsi="仿宋" w:eastAsia="仿宋" w:cs="仿宋"/>
          <w:sz w:val="24"/>
          <w:szCs w:val="24"/>
        </w:rPr>
      </w:pPr>
    </w:p>
    <w:p w14:paraId="0A29F006">
      <w:pPr>
        <w:pStyle w:val="2"/>
        <w:jc w:val="center"/>
        <w:rPr>
          <w:rFonts w:hint="eastAsia" w:ascii="仿宋" w:hAnsi="仿宋" w:eastAsia="仿宋" w:cs="仿宋"/>
        </w:rPr>
      </w:pPr>
      <w:bookmarkStart w:id="352" w:name="_Toc25231"/>
      <w:bookmarkStart w:id="353" w:name="_Toc21590"/>
      <w:bookmarkStart w:id="354" w:name="_Toc28554"/>
      <w:bookmarkStart w:id="355" w:name="_Toc501460777"/>
      <w:bookmarkStart w:id="356" w:name="_Toc246996338"/>
      <w:bookmarkStart w:id="357" w:name="_Toc246997081"/>
      <w:bookmarkStart w:id="358" w:name="_Toc247085853"/>
      <w:bookmarkStart w:id="359" w:name="_Toc179632787"/>
      <w:bookmarkStart w:id="360" w:name="_Toc152042549"/>
      <w:bookmarkStart w:id="361" w:name="_Toc300835199"/>
      <w:bookmarkStart w:id="362" w:name="_Toc144974578"/>
      <w:bookmarkStart w:id="363" w:name="_Toc247527798"/>
      <w:bookmarkStart w:id="364" w:name="_Toc247514197"/>
      <w:bookmarkStart w:id="365" w:name="_Toc144974829"/>
      <w:bookmarkStart w:id="366" w:name="_Toc152045610"/>
      <w:bookmarkStart w:id="367" w:name="_Toc184635122"/>
      <w:bookmarkStart w:id="368" w:name="_Toc152042388"/>
      <w:r>
        <w:rPr>
          <w:rFonts w:hint="eastAsia" w:ascii="仿宋" w:hAnsi="仿宋" w:eastAsia="仿宋" w:cs="仿宋"/>
        </w:rPr>
        <w:t>第五章  采购需求</w:t>
      </w:r>
      <w:bookmarkEnd w:id="352"/>
      <w:bookmarkEnd w:id="353"/>
      <w:bookmarkEnd w:id="354"/>
      <w:bookmarkEnd w:id="355"/>
    </w:p>
    <w:p w14:paraId="2C075553">
      <w:pPr>
        <w:spacing w:line="400" w:lineRule="exact"/>
        <w:ind w:firstLine="482" w:firstLineChars="200"/>
        <w:outlineLvl w:val="2"/>
        <w:rPr>
          <w:rFonts w:hint="eastAsia" w:ascii="宋体" w:hAnsi="宋体"/>
          <w:b/>
          <w:bCs/>
          <w:sz w:val="24"/>
          <w:szCs w:val="24"/>
        </w:rPr>
      </w:pPr>
      <w:r>
        <w:rPr>
          <w:rFonts w:hint="eastAsia" w:ascii="宋体" w:hAnsi="宋体"/>
          <w:b/>
          <w:bCs/>
          <w:sz w:val="24"/>
          <w:szCs w:val="24"/>
        </w:rPr>
        <w:t>一、采购需求前附表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2112"/>
        <w:gridCol w:w="5699"/>
      </w:tblGrid>
      <w:tr w14:paraId="454D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A79B08">
            <w:pPr>
              <w:pStyle w:val="64"/>
              <w:pBdr>
                <w:bottom w:val="none" w:color="auto" w:sz="0" w:space="0"/>
              </w:pBdr>
              <w:tabs>
                <w:tab w:val="clear" w:pos="4153"/>
                <w:tab w:val="clear" w:pos="8306"/>
              </w:tabs>
              <w:adjustRightInd/>
              <w:spacing w:line="240" w:lineRule="auto"/>
              <w:textAlignment w:val="auto"/>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序号</w:t>
            </w:r>
          </w:p>
        </w:tc>
        <w:tc>
          <w:tcPr>
            <w:tcW w:w="1192" w:type="pct"/>
            <w:vAlign w:val="center"/>
          </w:tcPr>
          <w:p w14:paraId="184906BD">
            <w:pPr>
              <w:pStyle w:val="65"/>
              <w:widowControl w:val="0"/>
              <w:spacing w:before="0" w:beforeAutospacing="0" w:after="0" w:afterAutospacing="0"/>
              <w:rPr>
                <w:rFonts w:hint="eastAsia" w:ascii="仿宋" w:hAnsi="仿宋" w:eastAsia="仿宋" w:cs="Times New Roman"/>
                <w:b w:val="0"/>
                <w:kern w:val="2"/>
                <w:sz w:val="21"/>
                <w:szCs w:val="21"/>
              </w:rPr>
            </w:pPr>
            <w:r>
              <w:rPr>
                <w:rFonts w:hint="eastAsia" w:ascii="仿宋" w:hAnsi="仿宋" w:eastAsia="仿宋" w:cs="Times New Roman"/>
                <w:b w:val="0"/>
                <w:kern w:val="2"/>
                <w:sz w:val="21"/>
                <w:szCs w:val="21"/>
              </w:rPr>
              <w:t>条款名称</w:t>
            </w:r>
          </w:p>
        </w:tc>
        <w:tc>
          <w:tcPr>
            <w:tcW w:w="3216" w:type="pct"/>
            <w:vAlign w:val="center"/>
          </w:tcPr>
          <w:p w14:paraId="4E114302">
            <w:pPr>
              <w:pStyle w:val="65"/>
              <w:widowControl w:val="0"/>
              <w:spacing w:before="0" w:beforeAutospacing="0" w:after="0" w:afterAutospacing="0"/>
              <w:rPr>
                <w:rFonts w:hint="eastAsia" w:ascii="仿宋" w:hAnsi="仿宋" w:eastAsia="仿宋" w:cs="Times New Roman"/>
                <w:b w:val="0"/>
                <w:kern w:val="2"/>
                <w:sz w:val="21"/>
                <w:szCs w:val="21"/>
              </w:rPr>
            </w:pPr>
            <w:r>
              <w:rPr>
                <w:rFonts w:hint="eastAsia" w:ascii="仿宋" w:hAnsi="仿宋" w:eastAsia="仿宋" w:cs="Times New Roman"/>
                <w:b w:val="0"/>
                <w:kern w:val="2"/>
                <w:sz w:val="21"/>
                <w:szCs w:val="21"/>
              </w:rPr>
              <w:t>内容、说明与要求</w:t>
            </w:r>
          </w:p>
        </w:tc>
      </w:tr>
      <w:tr w14:paraId="474F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5D08A70">
            <w:pPr>
              <w:pStyle w:val="64"/>
              <w:pBdr>
                <w:bottom w:val="none" w:color="auto" w:sz="0" w:space="0"/>
              </w:pBdr>
              <w:tabs>
                <w:tab w:val="clear" w:pos="4153"/>
                <w:tab w:val="clear" w:pos="8306"/>
              </w:tabs>
              <w:adjustRightInd/>
              <w:spacing w:line="240" w:lineRule="auto"/>
              <w:textAlignment w:val="auto"/>
              <w:rPr>
                <w:rFonts w:hint="eastAsia" w:ascii="仿宋" w:hAnsi="仿宋" w:eastAsia="仿宋" w:cs="Times New Roman"/>
                <w:bCs/>
                <w:kern w:val="2"/>
                <w:sz w:val="21"/>
                <w:szCs w:val="21"/>
              </w:rPr>
            </w:pPr>
            <w:r>
              <w:rPr>
                <w:rFonts w:hint="eastAsia" w:ascii="仿宋" w:hAnsi="仿宋" w:eastAsia="仿宋" w:cs="Times New Roman"/>
                <w:bCs/>
                <w:kern w:val="2"/>
                <w:sz w:val="21"/>
                <w:szCs w:val="21"/>
              </w:rPr>
              <w:t>1</w:t>
            </w:r>
          </w:p>
        </w:tc>
        <w:tc>
          <w:tcPr>
            <w:tcW w:w="1192" w:type="pct"/>
            <w:vAlign w:val="center"/>
          </w:tcPr>
          <w:p w14:paraId="7D099493">
            <w:pPr>
              <w:pStyle w:val="65"/>
              <w:widowControl w:val="0"/>
              <w:spacing w:before="0" w:beforeAutospacing="0" w:after="0" w:afterAutospacing="0"/>
              <w:rPr>
                <w:rFonts w:hint="eastAsia" w:ascii="仿宋" w:hAnsi="仿宋" w:eastAsia="仿宋" w:cs="Times New Roman"/>
                <w:b w:val="0"/>
                <w:kern w:val="2"/>
                <w:sz w:val="21"/>
                <w:szCs w:val="21"/>
                <w:highlight w:val="none"/>
              </w:rPr>
            </w:pPr>
            <w:r>
              <w:rPr>
                <w:rFonts w:hint="eastAsia" w:ascii="仿宋" w:hAnsi="仿宋" w:eastAsia="仿宋" w:cs="Times New Roman"/>
                <w:b w:val="0"/>
                <w:kern w:val="2"/>
                <w:sz w:val="21"/>
                <w:szCs w:val="21"/>
                <w:highlight w:val="none"/>
              </w:rPr>
              <w:t>付款方式</w:t>
            </w:r>
          </w:p>
        </w:tc>
        <w:tc>
          <w:tcPr>
            <w:tcW w:w="3216" w:type="pct"/>
            <w:vAlign w:val="center"/>
          </w:tcPr>
          <w:p w14:paraId="547C005B">
            <w:pPr>
              <w:pStyle w:val="65"/>
              <w:spacing w:before="0" w:beforeAutospacing="0" w:after="0" w:afterAutospacing="0"/>
              <w:jc w:val="both"/>
              <w:rPr>
                <w:rFonts w:hint="default" w:ascii="仿宋" w:hAnsi="仿宋" w:eastAsia="仿宋" w:cs="Times New Roman"/>
                <w:b w:val="0"/>
                <w:kern w:val="2"/>
                <w:sz w:val="21"/>
                <w:szCs w:val="21"/>
                <w:highlight w:val="none"/>
                <w:lang w:val="en-US" w:eastAsia="zh-CN"/>
              </w:rPr>
            </w:pPr>
            <w:r>
              <w:rPr>
                <w:rFonts w:hint="eastAsia" w:ascii="仿宋" w:hAnsi="仿宋" w:eastAsia="仿宋" w:cs="Times New Roman"/>
                <w:b w:val="0"/>
                <w:kern w:val="2"/>
                <w:sz w:val="21"/>
                <w:szCs w:val="21"/>
                <w:highlight w:val="none"/>
                <w:lang w:val="en-US" w:eastAsia="zh-CN"/>
              </w:rPr>
              <w:t>按年支付服务费。</w:t>
            </w:r>
          </w:p>
        </w:tc>
      </w:tr>
      <w:tr w14:paraId="14F6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0AAAFF6">
            <w:pPr>
              <w:pStyle w:val="64"/>
              <w:pBdr>
                <w:bottom w:val="none" w:color="auto" w:sz="0" w:space="0"/>
              </w:pBdr>
              <w:tabs>
                <w:tab w:val="clear" w:pos="4153"/>
                <w:tab w:val="clear" w:pos="8306"/>
              </w:tabs>
              <w:adjustRightInd/>
              <w:spacing w:line="240" w:lineRule="auto"/>
              <w:textAlignment w:val="auto"/>
              <w:rPr>
                <w:rFonts w:hint="eastAsia" w:ascii="仿宋" w:hAnsi="仿宋" w:eastAsia="仿宋" w:cs="Times New Roman"/>
                <w:bCs/>
                <w:kern w:val="2"/>
                <w:sz w:val="21"/>
                <w:szCs w:val="21"/>
                <w:highlight w:val="none"/>
              </w:rPr>
            </w:pPr>
            <w:r>
              <w:rPr>
                <w:rFonts w:hint="eastAsia" w:ascii="仿宋" w:hAnsi="仿宋" w:eastAsia="仿宋" w:cs="Times New Roman"/>
                <w:bCs/>
                <w:kern w:val="2"/>
                <w:sz w:val="21"/>
                <w:szCs w:val="21"/>
                <w:highlight w:val="none"/>
              </w:rPr>
              <w:t>2</w:t>
            </w:r>
          </w:p>
        </w:tc>
        <w:tc>
          <w:tcPr>
            <w:tcW w:w="1192" w:type="pct"/>
            <w:vAlign w:val="center"/>
          </w:tcPr>
          <w:p w14:paraId="54D92E57">
            <w:pPr>
              <w:pStyle w:val="65"/>
              <w:widowControl w:val="0"/>
              <w:spacing w:before="0" w:beforeAutospacing="0" w:after="0" w:afterAutospacing="0"/>
              <w:rPr>
                <w:rFonts w:hint="eastAsia" w:ascii="仿宋" w:hAnsi="仿宋" w:eastAsia="仿宋" w:cs="Times New Roman"/>
                <w:b w:val="0"/>
                <w:kern w:val="2"/>
                <w:sz w:val="21"/>
                <w:szCs w:val="21"/>
                <w:highlight w:val="none"/>
              </w:rPr>
            </w:pPr>
            <w:r>
              <w:rPr>
                <w:rFonts w:hint="eastAsia" w:ascii="仿宋" w:hAnsi="仿宋" w:eastAsia="仿宋" w:cs="Times New Roman"/>
                <w:b w:val="0"/>
                <w:kern w:val="2"/>
                <w:sz w:val="21"/>
                <w:szCs w:val="21"/>
                <w:highlight w:val="none"/>
              </w:rPr>
              <w:t>服务地点</w:t>
            </w:r>
          </w:p>
        </w:tc>
        <w:tc>
          <w:tcPr>
            <w:tcW w:w="3216" w:type="pct"/>
            <w:vAlign w:val="center"/>
          </w:tcPr>
          <w:p w14:paraId="5BB65582">
            <w:pPr>
              <w:pStyle w:val="65"/>
              <w:widowControl w:val="0"/>
              <w:spacing w:before="0" w:beforeAutospacing="0" w:after="0" w:afterAutospacing="0"/>
              <w:jc w:val="both"/>
              <w:rPr>
                <w:rFonts w:hint="eastAsia" w:ascii="仿宋" w:hAnsi="仿宋" w:eastAsia="仿宋" w:cs="Times New Roman"/>
                <w:b w:val="0"/>
                <w:kern w:val="2"/>
                <w:sz w:val="21"/>
                <w:szCs w:val="21"/>
                <w:highlight w:val="none"/>
              </w:rPr>
            </w:pPr>
            <w:r>
              <w:rPr>
                <w:rFonts w:hint="eastAsia" w:ascii="仿宋" w:hAnsi="仿宋" w:eastAsia="仿宋" w:cs="Times New Roman"/>
                <w:b w:val="0"/>
                <w:kern w:val="2"/>
                <w:sz w:val="21"/>
                <w:szCs w:val="21"/>
                <w:highlight w:val="none"/>
              </w:rPr>
              <w:t>安徽省濉溪县，采购人指定地点。</w:t>
            </w:r>
          </w:p>
        </w:tc>
      </w:tr>
      <w:tr w14:paraId="5794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72C502E">
            <w:pPr>
              <w:pStyle w:val="64"/>
              <w:pBdr>
                <w:bottom w:val="none" w:color="auto" w:sz="0" w:space="0"/>
              </w:pBdr>
              <w:tabs>
                <w:tab w:val="clear" w:pos="4153"/>
                <w:tab w:val="clear" w:pos="8306"/>
              </w:tabs>
              <w:adjustRightInd/>
              <w:spacing w:line="240" w:lineRule="auto"/>
              <w:textAlignment w:val="auto"/>
              <w:rPr>
                <w:rFonts w:hint="eastAsia" w:ascii="仿宋" w:hAnsi="仿宋" w:eastAsia="仿宋" w:cs="Times New Roman"/>
                <w:bCs/>
                <w:kern w:val="2"/>
                <w:sz w:val="21"/>
                <w:szCs w:val="21"/>
              </w:rPr>
            </w:pPr>
            <w:r>
              <w:rPr>
                <w:rFonts w:hint="eastAsia" w:ascii="仿宋" w:hAnsi="仿宋" w:eastAsia="仿宋" w:cs="Times New Roman"/>
                <w:bCs/>
                <w:kern w:val="2"/>
                <w:sz w:val="21"/>
                <w:szCs w:val="21"/>
              </w:rPr>
              <w:t>3</w:t>
            </w:r>
          </w:p>
        </w:tc>
        <w:tc>
          <w:tcPr>
            <w:tcW w:w="1192" w:type="pct"/>
            <w:vAlign w:val="center"/>
          </w:tcPr>
          <w:p w14:paraId="4B41CA03">
            <w:pPr>
              <w:pStyle w:val="65"/>
              <w:widowControl w:val="0"/>
              <w:spacing w:before="0" w:beforeAutospacing="0" w:after="0" w:afterAutospacing="0"/>
              <w:rPr>
                <w:rFonts w:hint="eastAsia" w:ascii="仿宋" w:hAnsi="仿宋" w:eastAsia="仿宋" w:cs="Times New Roman"/>
                <w:b w:val="0"/>
                <w:kern w:val="2"/>
                <w:sz w:val="21"/>
                <w:szCs w:val="21"/>
                <w:highlight w:val="none"/>
              </w:rPr>
            </w:pPr>
            <w:r>
              <w:rPr>
                <w:rFonts w:hint="eastAsia" w:ascii="仿宋" w:hAnsi="仿宋" w:eastAsia="仿宋" w:cs="Times New Roman"/>
                <w:b w:val="0"/>
                <w:kern w:val="2"/>
                <w:sz w:val="21"/>
                <w:szCs w:val="21"/>
                <w:highlight w:val="none"/>
              </w:rPr>
              <w:t>服务期限</w:t>
            </w:r>
          </w:p>
        </w:tc>
        <w:tc>
          <w:tcPr>
            <w:tcW w:w="3216" w:type="pct"/>
            <w:vAlign w:val="center"/>
          </w:tcPr>
          <w:p w14:paraId="53259435">
            <w:pPr>
              <w:pStyle w:val="65"/>
              <w:widowControl w:val="0"/>
              <w:spacing w:before="0" w:beforeAutospacing="0" w:after="0" w:afterAutospacing="0"/>
              <w:jc w:val="both"/>
              <w:rPr>
                <w:rFonts w:hint="eastAsia" w:ascii="仿宋" w:hAnsi="仿宋" w:eastAsia="仿宋" w:cs="Times New Roman"/>
                <w:b w:val="0"/>
                <w:kern w:val="2"/>
                <w:sz w:val="21"/>
                <w:szCs w:val="21"/>
                <w:highlight w:val="none"/>
              </w:rPr>
            </w:pPr>
            <w:r>
              <w:rPr>
                <w:rFonts w:hint="eastAsia" w:ascii="仿宋" w:hAnsi="仿宋" w:eastAsia="仿宋" w:cs="Times New Roman"/>
                <w:b w:val="0"/>
                <w:kern w:val="2"/>
                <w:sz w:val="21"/>
                <w:szCs w:val="21"/>
                <w:highlight w:val="none"/>
              </w:rPr>
              <w:t>2年</w:t>
            </w:r>
          </w:p>
        </w:tc>
      </w:tr>
      <w:tr w14:paraId="04E0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1239295">
            <w:pPr>
              <w:pStyle w:val="64"/>
              <w:pBdr>
                <w:bottom w:val="none" w:color="auto" w:sz="0" w:space="0"/>
              </w:pBdr>
              <w:tabs>
                <w:tab w:val="clear" w:pos="4153"/>
                <w:tab w:val="clear" w:pos="8306"/>
              </w:tabs>
              <w:adjustRightInd/>
              <w:spacing w:line="240" w:lineRule="auto"/>
              <w:textAlignment w:val="auto"/>
              <w:rPr>
                <w:rFonts w:hint="eastAsia" w:ascii="仿宋" w:hAnsi="仿宋" w:eastAsia="仿宋" w:cs="Times New Roman"/>
                <w:bCs/>
                <w:kern w:val="2"/>
                <w:sz w:val="21"/>
                <w:szCs w:val="21"/>
              </w:rPr>
            </w:pPr>
            <w:r>
              <w:rPr>
                <w:rFonts w:hint="eastAsia" w:ascii="仿宋" w:hAnsi="仿宋" w:eastAsia="仿宋" w:cs="Times New Roman"/>
                <w:bCs/>
                <w:kern w:val="2"/>
                <w:sz w:val="21"/>
                <w:szCs w:val="21"/>
              </w:rPr>
              <w:t>4</w:t>
            </w:r>
          </w:p>
        </w:tc>
        <w:tc>
          <w:tcPr>
            <w:tcW w:w="1192" w:type="pct"/>
            <w:vAlign w:val="center"/>
          </w:tcPr>
          <w:p w14:paraId="370478DA">
            <w:pPr>
              <w:pStyle w:val="65"/>
              <w:widowControl w:val="0"/>
              <w:spacing w:before="0" w:beforeAutospacing="0" w:after="0" w:afterAutospacing="0"/>
              <w:rPr>
                <w:rFonts w:hint="eastAsia" w:ascii="仿宋" w:hAnsi="仿宋" w:eastAsia="仿宋" w:cs="Times New Roman"/>
                <w:b w:val="0"/>
                <w:kern w:val="2"/>
                <w:sz w:val="21"/>
                <w:szCs w:val="21"/>
              </w:rPr>
            </w:pPr>
            <w:r>
              <w:rPr>
                <w:rFonts w:hint="eastAsia" w:ascii="仿宋" w:hAnsi="仿宋" w:eastAsia="仿宋" w:cs="Times New Roman"/>
                <w:b w:val="0"/>
                <w:kern w:val="2"/>
                <w:sz w:val="21"/>
                <w:szCs w:val="21"/>
              </w:rPr>
              <w:t>质量要求或服务标准</w:t>
            </w:r>
          </w:p>
        </w:tc>
        <w:tc>
          <w:tcPr>
            <w:tcW w:w="3216" w:type="pct"/>
            <w:vAlign w:val="center"/>
          </w:tcPr>
          <w:p w14:paraId="32A6216B">
            <w:pPr>
              <w:pStyle w:val="65"/>
              <w:widowControl w:val="0"/>
              <w:spacing w:before="0" w:beforeAutospacing="0" w:after="0" w:afterAutospacing="0"/>
              <w:jc w:val="both"/>
              <w:rPr>
                <w:rFonts w:hint="eastAsia" w:ascii="仿宋" w:hAnsi="仿宋" w:eastAsia="仿宋" w:cs="Times New Roman"/>
                <w:b w:val="0"/>
                <w:kern w:val="2"/>
                <w:sz w:val="21"/>
                <w:szCs w:val="21"/>
              </w:rPr>
            </w:pPr>
            <w:r>
              <w:rPr>
                <w:rFonts w:hint="eastAsia" w:ascii="仿宋" w:hAnsi="仿宋" w:eastAsia="仿宋" w:cs="Times New Roman"/>
                <w:b w:val="0"/>
                <w:kern w:val="2"/>
                <w:sz w:val="21"/>
                <w:szCs w:val="21"/>
              </w:rPr>
              <w:t>符合国家、地方以及采购文件要求。</w:t>
            </w:r>
          </w:p>
        </w:tc>
      </w:tr>
    </w:tbl>
    <w:p w14:paraId="2EDC7B35">
      <w:pPr>
        <w:spacing w:line="400" w:lineRule="exact"/>
        <w:ind w:firstLine="482" w:firstLineChars="200"/>
        <w:outlineLvl w:val="2"/>
        <w:rPr>
          <w:rFonts w:hint="default" w:ascii="宋体" w:hAnsi="宋体" w:eastAsia="宋体"/>
          <w:b/>
          <w:bCs/>
          <w:sz w:val="24"/>
          <w:szCs w:val="24"/>
          <w:highlight w:val="none"/>
          <w:lang w:val="en-US" w:eastAsia="zh-CN"/>
        </w:rPr>
      </w:pPr>
      <w:r>
        <w:rPr>
          <w:rFonts w:hint="eastAsia" w:ascii="宋体" w:hAnsi="宋体"/>
          <w:b/>
          <w:bCs/>
          <w:sz w:val="24"/>
          <w:szCs w:val="24"/>
          <w:highlight w:val="none"/>
        </w:rPr>
        <w:t>二、</w:t>
      </w:r>
      <w:r>
        <w:rPr>
          <w:rFonts w:hint="eastAsia" w:ascii="宋体" w:hAnsi="宋体"/>
          <w:b/>
          <w:bCs/>
          <w:sz w:val="24"/>
          <w:szCs w:val="24"/>
          <w:highlight w:val="none"/>
          <w:lang w:val="en-US" w:eastAsia="zh-CN"/>
        </w:rPr>
        <w:t>项目概况</w:t>
      </w:r>
    </w:p>
    <w:p w14:paraId="5C6786FF">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1.K2L93（汽油）2021.5上牌（福特全顺）</w:t>
      </w:r>
    </w:p>
    <w:p w14:paraId="7556A838">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2.K7N83（汽油）2021.1上牌（福特全顺）</w:t>
      </w:r>
    </w:p>
    <w:p w14:paraId="65A2EB86">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3.H2Y73（汽油）2021.1上牌（福特全顺）</w:t>
      </w:r>
    </w:p>
    <w:p w14:paraId="2B6100E3">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4.K0V63（汽油）2021.1上牌（福特全顺）</w:t>
      </w:r>
    </w:p>
    <w:p w14:paraId="06D60254">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5.ZY919（汽油）2023.7上牌（福特全顺）</w:t>
      </w:r>
    </w:p>
    <w:p w14:paraId="73A40F0F">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6.ZY915(</w:t>
      </w:r>
      <w:r>
        <w:rPr>
          <w:rFonts w:hint="eastAsia" w:ascii="仿宋" w:hAnsi="仿宋" w:eastAsia="仿宋" w:cs="仿宋"/>
          <w:sz w:val="24"/>
          <w:szCs w:val="24"/>
          <w:lang w:val="en-US" w:eastAsia="zh-CN"/>
        </w:rPr>
        <w:t>汽</w:t>
      </w:r>
      <w:r>
        <w:rPr>
          <w:rFonts w:hint="eastAsia" w:ascii="仿宋" w:hAnsi="仿宋" w:eastAsia="仿宋" w:cs="仿宋"/>
          <w:sz w:val="24"/>
          <w:szCs w:val="24"/>
          <w:lang w:eastAsia="zh-CN"/>
        </w:rPr>
        <w:t>油福特全顺)2023.7上牌（福特全顺）</w:t>
      </w:r>
    </w:p>
    <w:p w14:paraId="7553D9CE">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8.ZY912(</w:t>
      </w:r>
      <w:r>
        <w:rPr>
          <w:rFonts w:hint="eastAsia" w:ascii="仿宋" w:hAnsi="仿宋" w:eastAsia="仿宋" w:cs="仿宋"/>
          <w:sz w:val="24"/>
          <w:szCs w:val="24"/>
          <w:lang w:val="en-US" w:eastAsia="zh-CN"/>
        </w:rPr>
        <w:t>汽</w:t>
      </w:r>
      <w:r>
        <w:rPr>
          <w:rFonts w:hint="eastAsia" w:ascii="仿宋" w:hAnsi="仿宋" w:eastAsia="仿宋" w:cs="仿宋"/>
          <w:sz w:val="24"/>
          <w:szCs w:val="24"/>
          <w:lang w:eastAsia="zh-CN"/>
        </w:rPr>
        <w:t>油福特全顺)2023.7上牌（福特全顺）</w:t>
      </w:r>
    </w:p>
    <w:p w14:paraId="1F59DB5E">
      <w:pPr>
        <w:spacing w:line="400" w:lineRule="exact"/>
        <w:ind w:firstLine="480" w:firstLineChars="200"/>
        <w:rPr>
          <w:rFonts w:hint="eastAsia" w:ascii="宋体" w:hAnsi="宋体"/>
          <w:b/>
          <w:bCs/>
          <w:sz w:val="24"/>
          <w:szCs w:val="24"/>
        </w:rPr>
      </w:pPr>
      <w:r>
        <w:rPr>
          <w:rFonts w:hint="eastAsia" w:ascii="仿宋" w:hAnsi="仿宋" w:eastAsia="仿宋" w:cs="仿宋"/>
          <w:sz w:val="24"/>
          <w:szCs w:val="24"/>
          <w:lang w:eastAsia="zh-CN"/>
        </w:rPr>
        <w:t>9.21881（柴油金龙客车）体检车2021.11上牌</w:t>
      </w:r>
    </w:p>
    <w:p w14:paraId="3A3F3042">
      <w:pPr>
        <w:spacing w:line="400" w:lineRule="exact"/>
        <w:ind w:firstLine="482" w:firstLineChars="200"/>
        <w:outlineLvl w:val="2"/>
        <w:rPr>
          <w:rFonts w:hint="eastAsia" w:ascii="宋体" w:hAnsi="宋体"/>
          <w:b/>
          <w:bCs/>
          <w:sz w:val="24"/>
          <w:szCs w:val="24"/>
        </w:rPr>
      </w:pPr>
      <w:r>
        <w:rPr>
          <w:rFonts w:hint="eastAsia" w:ascii="宋体" w:hAnsi="宋体"/>
          <w:b/>
          <w:bCs/>
          <w:sz w:val="24"/>
          <w:szCs w:val="24"/>
        </w:rPr>
        <w:t>二、服务要求</w:t>
      </w:r>
    </w:p>
    <w:p w14:paraId="2199DF8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1.服务单位维修工位使用面积应不低于</w:t>
      </w:r>
      <w:r>
        <w:rPr>
          <w:rFonts w:hint="eastAsia" w:ascii="仿宋" w:hAnsi="仿宋" w:eastAsia="仿宋" w:cs="仿宋"/>
          <w:sz w:val="24"/>
          <w:szCs w:val="24"/>
          <w:lang w:val="en-US" w:eastAsia="zh-CN"/>
        </w:rPr>
        <w:t>3</w:t>
      </w:r>
      <w:r>
        <w:rPr>
          <w:rFonts w:hint="eastAsia" w:ascii="仿宋" w:hAnsi="仿宋" w:eastAsia="仿宋" w:cs="仿宋"/>
          <w:sz w:val="24"/>
          <w:szCs w:val="24"/>
        </w:rPr>
        <w:t>00平方米，服务单位应具备不少于2个维修车辆举升机，不少于2个车身维修车位；</w:t>
      </w:r>
    </w:p>
    <w:p w14:paraId="2721CC0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2.建立并执行价格备案及公示、汽车维修合同、汽车维修费用结算清单、汽车维修记录；</w:t>
      </w:r>
    </w:p>
    <w:p w14:paraId="569C53D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3.质量保证书应按照不低于国家行业规定的标准提供，</w:t>
      </w:r>
      <w:bookmarkStart w:id="369" w:name="_Hlk212476125"/>
      <w:r>
        <w:rPr>
          <w:rFonts w:hint="eastAsia" w:ascii="仿宋" w:hAnsi="仿宋" w:eastAsia="仿宋" w:cs="仿宋"/>
          <w:sz w:val="24"/>
          <w:szCs w:val="24"/>
        </w:rPr>
        <w:t>供应商</w:t>
      </w:r>
      <w:bookmarkEnd w:id="369"/>
      <w:r>
        <w:rPr>
          <w:rFonts w:hint="eastAsia" w:ascii="仿宋" w:hAnsi="仿宋" w:eastAsia="仿宋" w:cs="仿宋"/>
          <w:sz w:val="24"/>
          <w:szCs w:val="24"/>
        </w:rPr>
        <w:t>应明确各种类别维修质量保证的具体里程或时间。</w:t>
      </w:r>
    </w:p>
    <w:p w14:paraId="34626A7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4.应保证甲方获得优先服务的权利，并在不超过协商承诺的维修期限内完成维修工作，因维修质量或技术问题导致车辆损坏或事故的，由维修方承担全部责任。</w:t>
      </w:r>
    </w:p>
    <w:p w14:paraId="3E9B2F4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应设有24小时服务电话，在接到甲方报修电话后立即予以响应，并能提供上门维修服务。</w:t>
      </w:r>
    </w:p>
    <w:p w14:paraId="6271545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6.能为甲方提供紧急救援服务，配备有明显标志的</w:t>
      </w:r>
      <w:r>
        <w:rPr>
          <w:rFonts w:hint="eastAsia" w:ascii="仿宋" w:hAnsi="仿宋" w:eastAsia="仿宋" w:cs="仿宋"/>
          <w:sz w:val="24"/>
          <w:szCs w:val="24"/>
          <w:highlight w:val="none"/>
        </w:rPr>
        <w:t>抢修车</w:t>
      </w:r>
      <w:r>
        <w:rPr>
          <w:rFonts w:hint="eastAsia" w:ascii="仿宋" w:hAnsi="仿宋" w:eastAsia="仿宋" w:cs="仿宋"/>
          <w:sz w:val="24"/>
          <w:szCs w:val="24"/>
        </w:rPr>
        <w:t>。濉溪县内供应商接到甲方报修电话，应能在</w:t>
      </w:r>
      <w:r>
        <w:rPr>
          <w:rFonts w:hint="eastAsia" w:ascii="仿宋" w:hAnsi="仿宋" w:eastAsia="仿宋" w:cs="仿宋"/>
          <w:sz w:val="24"/>
          <w:szCs w:val="24"/>
          <w:highlight w:val="none"/>
        </w:rPr>
        <w:t>30</w:t>
      </w:r>
      <w:r>
        <w:rPr>
          <w:rFonts w:hint="eastAsia" w:ascii="仿宋" w:hAnsi="仿宋" w:eastAsia="仿宋" w:cs="仿宋"/>
          <w:sz w:val="24"/>
          <w:szCs w:val="24"/>
        </w:rPr>
        <w:t>分钟内派人赶到救援现场。</w:t>
      </w:r>
    </w:p>
    <w:p w14:paraId="30BC70A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7.对甲方的送修车辆建立用户档案，档案内容应有送修单、派工单、结算单，实行“三单合一”管理，开展跟踪服务。</w:t>
      </w:r>
    </w:p>
    <w:p w14:paraId="4839BC1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8.协助有关部门做好对甲方经办人的廉政工作，防止腐败现象的出现。</w:t>
      </w:r>
    </w:p>
    <w:p w14:paraId="69F16B8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9.须专人给予做好这个工作（包括节假日），确保使用车辆问题在第一时间得到维修。</w:t>
      </w:r>
    </w:p>
    <w:p w14:paraId="6DB754E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10.供应商可提供的其他服务。</w:t>
      </w:r>
    </w:p>
    <w:p w14:paraId="2D416F4C">
      <w:pPr>
        <w:spacing w:line="400" w:lineRule="exact"/>
        <w:ind w:firstLine="480" w:firstLineChars="200"/>
        <w:rPr>
          <w:rFonts w:hint="eastAsia" w:ascii="仿宋" w:hAnsi="仿宋" w:eastAsia="仿宋" w:cs="仿宋"/>
          <w:sz w:val="24"/>
          <w:szCs w:val="24"/>
          <w:lang w:eastAsia="zh-CN"/>
        </w:rPr>
      </w:pPr>
    </w:p>
    <w:p w14:paraId="42578BCE">
      <w:pPr>
        <w:spacing w:line="400" w:lineRule="exact"/>
        <w:ind w:firstLine="482" w:firstLineChars="200"/>
        <w:outlineLvl w:val="2"/>
        <w:rPr>
          <w:rFonts w:hint="eastAsia" w:ascii="宋体" w:hAnsi="宋体"/>
          <w:b/>
          <w:bCs/>
          <w:sz w:val="24"/>
          <w:szCs w:val="24"/>
        </w:rPr>
      </w:pPr>
      <w:r>
        <w:rPr>
          <w:rFonts w:hint="eastAsia" w:ascii="宋体" w:hAnsi="宋体"/>
          <w:b/>
          <w:bCs/>
          <w:sz w:val="24"/>
          <w:szCs w:val="24"/>
        </w:rPr>
        <w:t>三、报价要求</w:t>
      </w:r>
    </w:p>
    <w:p w14:paraId="0286F3C0">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报价包含完成本项目采购范围内所发生的一切费用。包括但不限于</w:t>
      </w:r>
      <w:r>
        <w:rPr>
          <w:rFonts w:hint="eastAsia" w:ascii="仿宋" w:hAnsi="仿宋" w:eastAsia="仿宋" w:cs="仿宋"/>
          <w:sz w:val="24"/>
          <w:szCs w:val="24"/>
          <w:highlight w:val="none"/>
          <w:lang w:val="en-US" w:eastAsia="zh-CN"/>
        </w:rPr>
        <w:t>维护保养</w:t>
      </w:r>
      <w:r>
        <w:rPr>
          <w:rFonts w:hint="eastAsia" w:ascii="仿宋" w:hAnsi="仿宋" w:eastAsia="仿宋" w:cs="仿宋"/>
          <w:sz w:val="24"/>
          <w:szCs w:val="24"/>
          <w:highlight w:val="none"/>
        </w:rPr>
        <w:t>服务费、检测费、运输费、维修配件费（</w:t>
      </w:r>
      <w:r>
        <w:rPr>
          <w:rFonts w:hint="eastAsia" w:ascii="仿宋" w:hAnsi="仿宋" w:eastAsia="仿宋" w:cs="仿宋"/>
          <w:sz w:val="24"/>
          <w:szCs w:val="24"/>
          <w:highlight w:val="none"/>
          <w:lang w:val="en-US" w:eastAsia="zh-CN"/>
        </w:rPr>
        <w:t>维修</w:t>
      </w:r>
      <w:r>
        <w:rPr>
          <w:rFonts w:hint="eastAsia" w:ascii="仿宋" w:hAnsi="仿宋" w:eastAsia="仿宋" w:cs="仿宋"/>
          <w:sz w:val="24"/>
          <w:szCs w:val="24"/>
          <w:highlight w:val="none"/>
        </w:rPr>
        <w:t>过程中现有</w:t>
      </w:r>
      <w:r>
        <w:rPr>
          <w:rFonts w:hint="eastAsia" w:ascii="仿宋" w:hAnsi="仿宋" w:eastAsia="仿宋" w:cs="仿宋"/>
          <w:sz w:val="24"/>
          <w:szCs w:val="24"/>
          <w:highlight w:val="none"/>
          <w:lang w:val="en-US" w:eastAsia="zh-CN"/>
        </w:rPr>
        <w:t>零部件</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000元及以下的）、包装费、仓储费、保管费以及完成本项目所需要的其他费用。</w:t>
      </w:r>
    </w:p>
    <w:p w14:paraId="2058B44F">
      <w:pPr>
        <w:spacing w:line="400" w:lineRule="exact"/>
        <w:ind w:firstLine="482" w:firstLineChars="200"/>
        <w:outlineLvl w:val="2"/>
        <w:rPr>
          <w:rFonts w:hint="eastAsia" w:ascii="宋体" w:hAnsi="宋体"/>
          <w:b/>
          <w:bCs/>
          <w:sz w:val="24"/>
          <w:szCs w:val="24"/>
        </w:rPr>
      </w:pPr>
      <w:r>
        <w:rPr>
          <w:rFonts w:hint="eastAsia" w:ascii="宋体" w:hAnsi="宋体"/>
          <w:b/>
          <w:bCs/>
          <w:sz w:val="24"/>
          <w:szCs w:val="24"/>
        </w:rPr>
        <w:t>四、其他要求</w:t>
      </w:r>
    </w:p>
    <w:p w14:paraId="3CE869D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1、响应文件中提供固定的维修场所、独立法人资格、行业主管部门批准的三类及以上资格的汽车维修企业复印件；</w:t>
      </w:r>
    </w:p>
    <w:p w14:paraId="3B31B85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2、响应文件中提供维修技师、维修人员需取得行业主管部门及相关部门颁发的从业资格证书；</w:t>
      </w:r>
    </w:p>
    <w:p w14:paraId="7D79F43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3、响应文件中提供业务服务工作流程、公开业务受理程序、服务承诺和用户抱怨受理程序等，并明示经营许可证、标识牌、配件价格、工时定额和价格标准等；</w:t>
      </w:r>
    </w:p>
    <w:p w14:paraId="4A9BB40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4、更换配件、轮胎、机油等产品均需原厂或报招标人认可的其他品牌产品。</w:t>
      </w:r>
    </w:p>
    <w:p w14:paraId="44E9672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5、应具有信息化管理及规范化操作流程。</w:t>
      </w:r>
    </w:p>
    <w:bookmarkEnd w:id="356"/>
    <w:bookmarkEnd w:id="357"/>
    <w:bookmarkEnd w:id="358"/>
    <w:bookmarkEnd w:id="359"/>
    <w:p w14:paraId="2AAFD5A3">
      <w:pPr>
        <w:pStyle w:val="2"/>
        <w:keepNext w:val="0"/>
        <w:keepLines w:val="0"/>
        <w:pageBreakBefore/>
        <w:jc w:val="center"/>
        <w:rPr>
          <w:rFonts w:hint="eastAsia" w:ascii="仿宋" w:hAnsi="仿宋" w:eastAsia="仿宋" w:cs="仿宋"/>
        </w:rPr>
      </w:pPr>
      <w:bookmarkStart w:id="370" w:name="_Toc501460784"/>
      <w:bookmarkStart w:id="371" w:name="_Toc18429"/>
      <w:r>
        <w:rPr>
          <w:rFonts w:hint="eastAsia" w:ascii="仿宋" w:hAnsi="仿宋" w:eastAsia="仿宋" w:cs="仿宋"/>
        </w:rPr>
        <w:t>第六章  响应文件格式</w:t>
      </w:r>
      <w:bookmarkEnd w:id="370"/>
      <w:bookmarkEnd w:id="371"/>
    </w:p>
    <w:p w14:paraId="6BCA7F54">
      <w:pPr>
        <w:spacing w:line="400" w:lineRule="exact"/>
        <w:rPr>
          <w:rFonts w:ascii="Times New Roman" w:hAnsi="Times New Roman"/>
        </w:rPr>
      </w:pPr>
    </w:p>
    <w:p w14:paraId="5F4C5160">
      <w:pPr>
        <w:spacing w:line="400" w:lineRule="exact"/>
        <w:rPr>
          <w:rFonts w:ascii="Times New Roman" w:hAnsi="Times New Roman"/>
        </w:rPr>
      </w:pPr>
    </w:p>
    <w:p w14:paraId="2C23A5C6">
      <w:pPr>
        <w:spacing w:line="400" w:lineRule="exact"/>
        <w:rPr>
          <w:rFonts w:ascii="Times New Roman" w:hAnsi="Times New Roman"/>
        </w:rPr>
      </w:pPr>
    </w:p>
    <w:p w14:paraId="10C59C97">
      <w:pPr>
        <w:jc w:val="center"/>
        <w:rPr>
          <w:rFonts w:hint="eastAsia" w:ascii="仿宋" w:hAnsi="仿宋" w:eastAsia="仿宋" w:cs="仿宋"/>
          <w:sz w:val="28"/>
          <w:szCs w:val="28"/>
          <w:u w:val="single"/>
        </w:rPr>
      </w:pPr>
    </w:p>
    <w:p w14:paraId="4654E539">
      <w:pPr>
        <w:jc w:val="center"/>
        <w:rPr>
          <w:rFonts w:hint="eastAsia" w:ascii="仿宋" w:hAnsi="仿宋" w:eastAsia="仿宋" w:cs="仿宋"/>
          <w:sz w:val="28"/>
          <w:szCs w:val="28"/>
          <w:u w:val="single"/>
        </w:rPr>
      </w:pPr>
    </w:p>
    <w:p w14:paraId="71C4A9DB">
      <w:pPr>
        <w:jc w:val="center"/>
        <w:rPr>
          <w:rFonts w:hint="eastAsia" w:ascii="仿宋" w:hAnsi="仿宋" w:eastAsia="仿宋" w:cs="仿宋"/>
          <w:sz w:val="28"/>
          <w:szCs w:val="28"/>
          <w:u w:val="single"/>
        </w:rPr>
      </w:pPr>
      <w:r>
        <w:rPr>
          <w:rFonts w:hint="eastAsia" w:ascii="仿宋" w:hAnsi="仿宋" w:eastAsia="仿宋" w:cs="仿宋"/>
          <w:sz w:val="28"/>
          <w:szCs w:val="28"/>
          <w:u w:val="single"/>
        </w:rPr>
        <w:t xml:space="preserve">                 （项目名称）</w:t>
      </w:r>
    </w:p>
    <w:p w14:paraId="66D758D6">
      <w:pPr>
        <w:rPr>
          <w:rFonts w:hint="eastAsia" w:ascii="仿宋" w:hAnsi="仿宋" w:eastAsia="仿宋" w:cs="仿宋"/>
          <w:sz w:val="20"/>
        </w:rPr>
      </w:pPr>
    </w:p>
    <w:p w14:paraId="1C6072B9">
      <w:pPr>
        <w:rPr>
          <w:rFonts w:hint="eastAsia" w:ascii="仿宋" w:hAnsi="仿宋" w:eastAsia="仿宋" w:cs="仿宋"/>
          <w:sz w:val="20"/>
        </w:rPr>
      </w:pPr>
    </w:p>
    <w:p w14:paraId="0485B8F0">
      <w:pPr>
        <w:jc w:val="center"/>
        <w:rPr>
          <w:rFonts w:hint="eastAsia" w:ascii="仿宋" w:hAnsi="仿宋" w:eastAsia="仿宋" w:cs="仿宋"/>
          <w:sz w:val="44"/>
        </w:rPr>
      </w:pPr>
      <w:r>
        <w:rPr>
          <w:rFonts w:hint="eastAsia" w:ascii="仿宋" w:hAnsi="仿宋" w:eastAsia="仿宋" w:cs="仿宋"/>
          <w:sz w:val="44"/>
        </w:rPr>
        <w:t>响应文件</w:t>
      </w:r>
    </w:p>
    <w:p w14:paraId="143640BE">
      <w:pPr>
        <w:jc w:val="center"/>
        <w:rPr>
          <w:rFonts w:hint="eastAsia" w:ascii="仿宋" w:hAnsi="仿宋" w:eastAsia="仿宋" w:cs="仿宋"/>
          <w:sz w:val="44"/>
        </w:rPr>
      </w:pPr>
    </w:p>
    <w:p w14:paraId="0F7E7EDB">
      <w:pPr>
        <w:rPr>
          <w:rFonts w:hint="eastAsia" w:ascii="仿宋" w:hAnsi="仿宋" w:eastAsia="仿宋" w:cs="仿宋"/>
          <w:sz w:val="28"/>
        </w:rPr>
      </w:pPr>
    </w:p>
    <w:p w14:paraId="13F77CE9">
      <w:pPr>
        <w:rPr>
          <w:rFonts w:hint="eastAsia" w:ascii="仿宋" w:hAnsi="仿宋" w:eastAsia="仿宋" w:cs="仿宋"/>
          <w:sz w:val="28"/>
        </w:rPr>
      </w:pPr>
    </w:p>
    <w:p w14:paraId="57704744">
      <w:pPr>
        <w:rPr>
          <w:rFonts w:hint="eastAsia" w:ascii="仿宋" w:hAnsi="仿宋" w:eastAsia="仿宋" w:cs="仿宋"/>
          <w:sz w:val="28"/>
        </w:rPr>
      </w:pPr>
    </w:p>
    <w:p w14:paraId="44E36059">
      <w:pPr>
        <w:rPr>
          <w:rFonts w:hint="eastAsia" w:ascii="仿宋" w:hAnsi="仿宋" w:eastAsia="仿宋" w:cs="仿宋"/>
          <w:sz w:val="28"/>
        </w:rPr>
      </w:pPr>
    </w:p>
    <w:p w14:paraId="45FDF239">
      <w:pPr>
        <w:rPr>
          <w:rFonts w:hint="eastAsia" w:ascii="仿宋" w:hAnsi="仿宋" w:eastAsia="仿宋" w:cs="仿宋"/>
          <w:sz w:val="28"/>
        </w:rPr>
      </w:pPr>
    </w:p>
    <w:p w14:paraId="2718655C">
      <w:pPr>
        <w:rPr>
          <w:rFonts w:hint="eastAsia" w:ascii="仿宋" w:hAnsi="仿宋" w:eastAsia="仿宋" w:cs="仿宋"/>
          <w:sz w:val="28"/>
        </w:rPr>
      </w:pPr>
    </w:p>
    <w:p w14:paraId="2E96FF17">
      <w:pPr>
        <w:rPr>
          <w:rFonts w:hint="eastAsia" w:ascii="仿宋" w:hAnsi="仿宋" w:eastAsia="仿宋" w:cs="仿宋"/>
          <w:sz w:val="28"/>
        </w:rPr>
      </w:pPr>
    </w:p>
    <w:p w14:paraId="5EB3EC12">
      <w:pPr>
        <w:rPr>
          <w:rFonts w:hint="eastAsia" w:ascii="仿宋" w:hAnsi="仿宋" w:eastAsia="仿宋" w:cs="仿宋"/>
          <w:sz w:val="28"/>
        </w:rPr>
      </w:pPr>
    </w:p>
    <w:p w14:paraId="7D14A4FA">
      <w:pPr>
        <w:rPr>
          <w:rFonts w:hint="eastAsia" w:ascii="仿宋" w:hAnsi="仿宋" w:eastAsia="仿宋" w:cs="仿宋"/>
          <w:sz w:val="28"/>
        </w:rPr>
      </w:pPr>
    </w:p>
    <w:p w14:paraId="795E5587">
      <w:pPr>
        <w:rPr>
          <w:rFonts w:hint="eastAsia" w:ascii="仿宋" w:hAnsi="仿宋" w:eastAsia="仿宋" w:cs="仿宋"/>
          <w:sz w:val="28"/>
        </w:rPr>
      </w:pPr>
    </w:p>
    <w:p w14:paraId="268ACCE0">
      <w:pPr>
        <w:rPr>
          <w:rFonts w:hint="eastAsia" w:ascii="仿宋" w:hAnsi="仿宋" w:eastAsia="仿宋" w:cs="仿宋"/>
          <w:sz w:val="28"/>
        </w:rPr>
      </w:pPr>
    </w:p>
    <w:p w14:paraId="0BD6A248">
      <w:pPr>
        <w:rPr>
          <w:rFonts w:hint="eastAsia" w:ascii="仿宋" w:hAnsi="仿宋" w:eastAsia="仿宋" w:cs="仿宋"/>
          <w:sz w:val="28"/>
        </w:rPr>
      </w:pPr>
    </w:p>
    <w:p w14:paraId="5A9F980E">
      <w:pPr>
        <w:rPr>
          <w:rFonts w:hint="eastAsia" w:ascii="仿宋" w:hAnsi="仿宋" w:eastAsia="仿宋" w:cs="仿宋"/>
          <w:sz w:val="28"/>
        </w:rPr>
      </w:pPr>
    </w:p>
    <w:p w14:paraId="58DDB664">
      <w:pPr>
        <w:spacing w:line="360" w:lineRule="auto"/>
        <w:ind w:firstLine="1120" w:firstLineChars="400"/>
        <w:rPr>
          <w:rFonts w:hint="eastAsia" w:ascii="仿宋" w:hAnsi="仿宋" w:eastAsia="仿宋" w:cs="仿宋"/>
          <w:sz w:val="28"/>
          <w:u w:val="single"/>
        </w:rPr>
      </w:pPr>
      <w:r>
        <w:rPr>
          <w:rFonts w:hint="eastAsia" w:ascii="仿宋" w:hAnsi="仿宋" w:eastAsia="仿宋" w:cs="仿宋"/>
          <w:sz w:val="28"/>
        </w:rPr>
        <w:t>供应商：</w:t>
      </w:r>
      <w:r>
        <w:rPr>
          <w:rFonts w:hint="eastAsia" w:ascii="仿宋" w:hAnsi="仿宋" w:eastAsia="仿宋" w:cs="仿宋"/>
          <w:u w:val="single"/>
        </w:rPr>
        <w:t xml:space="preserve">                                           </w:t>
      </w:r>
    </w:p>
    <w:p w14:paraId="0744D660">
      <w:pPr>
        <w:jc w:val="center"/>
        <w:rPr>
          <w:rFonts w:hint="eastAsia" w:ascii="仿宋" w:hAnsi="仿宋" w:eastAsia="仿宋" w:cs="仿宋"/>
          <w:sz w:val="28"/>
        </w:rPr>
      </w:pPr>
    </w:p>
    <w:p w14:paraId="18548441">
      <w:pPr>
        <w:spacing w:line="400" w:lineRule="exact"/>
        <w:jc w:val="center"/>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sz w:val="28"/>
        </w:rPr>
        <w:t>年</w:t>
      </w:r>
      <w:r>
        <w:rPr>
          <w:rFonts w:hint="eastAsia" w:ascii="仿宋" w:hAnsi="仿宋" w:eastAsia="仿宋" w:cs="仿宋"/>
          <w:u w:val="single"/>
        </w:rPr>
        <w:t xml:space="preserve">       </w:t>
      </w:r>
      <w:r>
        <w:rPr>
          <w:rFonts w:hint="eastAsia" w:ascii="仿宋" w:hAnsi="仿宋" w:eastAsia="仿宋" w:cs="仿宋"/>
          <w:sz w:val="28"/>
        </w:rPr>
        <w:t>月</w:t>
      </w:r>
      <w:r>
        <w:rPr>
          <w:rFonts w:hint="eastAsia" w:ascii="仿宋" w:hAnsi="仿宋" w:eastAsia="仿宋" w:cs="仿宋"/>
          <w:u w:val="single"/>
        </w:rPr>
        <w:t xml:space="preserve">       </w:t>
      </w:r>
      <w:r>
        <w:rPr>
          <w:rFonts w:hint="eastAsia" w:ascii="仿宋" w:hAnsi="仿宋" w:eastAsia="仿宋" w:cs="仿宋"/>
          <w:sz w:val="28"/>
        </w:rPr>
        <w:t>日</w:t>
      </w:r>
      <w:r>
        <w:rPr>
          <w:rFonts w:hint="eastAsia" w:ascii="仿宋" w:hAnsi="仿宋" w:eastAsia="仿宋" w:cs="仿宋"/>
        </w:rPr>
        <w:br w:type="page"/>
      </w:r>
    </w:p>
    <w:p w14:paraId="3D9FD124">
      <w:pPr>
        <w:pStyle w:val="3"/>
        <w:jc w:val="center"/>
        <w:rPr>
          <w:rFonts w:hint="eastAsia" w:ascii="仿宋" w:hAnsi="仿宋" w:eastAsia="仿宋" w:cs="仿宋"/>
        </w:rPr>
      </w:pPr>
      <w:bookmarkStart w:id="372" w:name="_Toc501460785"/>
      <w:bookmarkStart w:id="373" w:name="_Toc24033"/>
      <w:r>
        <w:rPr>
          <w:rFonts w:hint="eastAsia" w:ascii="仿宋" w:hAnsi="仿宋" w:eastAsia="仿宋" w:cs="仿宋"/>
        </w:rPr>
        <w:t>目  录</w:t>
      </w:r>
      <w:bookmarkEnd w:id="372"/>
      <w:bookmarkEnd w:id="373"/>
    </w:p>
    <w:p w14:paraId="7DEA7DA1">
      <w:pPr>
        <w:spacing w:line="540" w:lineRule="exact"/>
        <w:rPr>
          <w:rFonts w:hint="eastAsia" w:ascii="仿宋" w:hAnsi="仿宋" w:eastAsia="仿宋" w:cs="仿宋"/>
        </w:rPr>
      </w:pPr>
    </w:p>
    <w:p w14:paraId="2B823DD0">
      <w:pPr>
        <w:spacing w:line="540" w:lineRule="exact"/>
        <w:rPr>
          <w:rFonts w:hint="eastAsia" w:ascii="仿宋" w:hAnsi="仿宋" w:eastAsia="仿宋" w:cs="仿宋"/>
          <w:sz w:val="24"/>
          <w:szCs w:val="24"/>
        </w:rPr>
      </w:pPr>
      <w:bookmarkStart w:id="374" w:name="_Toc369531691"/>
      <w:bookmarkStart w:id="375" w:name="_Toc352691655"/>
      <w:bookmarkStart w:id="376" w:name="_Toc7039"/>
      <w:r>
        <w:rPr>
          <w:rFonts w:hint="eastAsia" w:ascii="仿宋" w:hAnsi="仿宋" w:eastAsia="仿宋" w:cs="仿宋"/>
          <w:sz w:val="24"/>
          <w:szCs w:val="24"/>
        </w:rPr>
        <w:t>一、响应函</w:t>
      </w:r>
    </w:p>
    <w:p w14:paraId="49BBE151">
      <w:pPr>
        <w:spacing w:line="540" w:lineRule="exact"/>
        <w:rPr>
          <w:rFonts w:hint="eastAsia" w:ascii="仿宋" w:hAnsi="仿宋" w:eastAsia="仿宋" w:cs="仿宋"/>
          <w:sz w:val="24"/>
          <w:szCs w:val="24"/>
        </w:rPr>
      </w:pPr>
      <w:r>
        <w:rPr>
          <w:rFonts w:hint="eastAsia" w:ascii="仿宋" w:hAnsi="仿宋" w:eastAsia="仿宋" w:cs="仿宋"/>
          <w:sz w:val="24"/>
          <w:szCs w:val="24"/>
        </w:rPr>
        <w:t>二、法定代表人（单位负责人）身份证明/授权委托书</w:t>
      </w:r>
    </w:p>
    <w:p w14:paraId="6F2CA520">
      <w:pPr>
        <w:spacing w:line="540" w:lineRule="exact"/>
        <w:rPr>
          <w:rFonts w:hint="eastAsia" w:ascii="仿宋" w:hAnsi="仿宋" w:eastAsia="仿宋" w:cs="仿宋"/>
          <w:sz w:val="24"/>
          <w:szCs w:val="24"/>
        </w:rPr>
      </w:pPr>
      <w:r>
        <w:rPr>
          <w:rFonts w:hint="eastAsia" w:ascii="仿宋" w:hAnsi="仿宋" w:eastAsia="仿宋" w:cs="仿宋"/>
          <w:sz w:val="24"/>
          <w:szCs w:val="24"/>
        </w:rPr>
        <w:t>三、联合体协议书</w:t>
      </w:r>
    </w:p>
    <w:p w14:paraId="44A4AD43">
      <w:pPr>
        <w:spacing w:line="540" w:lineRule="exact"/>
        <w:rPr>
          <w:rFonts w:hint="eastAsia" w:ascii="仿宋" w:hAnsi="仿宋" w:eastAsia="仿宋" w:cs="仿宋"/>
          <w:sz w:val="24"/>
          <w:szCs w:val="24"/>
        </w:rPr>
      </w:pPr>
      <w:r>
        <w:rPr>
          <w:rFonts w:hint="eastAsia" w:ascii="仿宋" w:hAnsi="仿宋" w:eastAsia="仿宋" w:cs="仿宋"/>
          <w:sz w:val="24"/>
          <w:szCs w:val="24"/>
        </w:rPr>
        <w:t>四、响应保证金</w:t>
      </w:r>
    </w:p>
    <w:p w14:paraId="194D9A37">
      <w:pPr>
        <w:spacing w:line="540" w:lineRule="exact"/>
        <w:rPr>
          <w:rFonts w:hint="eastAsia" w:ascii="仿宋" w:hAnsi="仿宋" w:eastAsia="仿宋" w:cs="仿宋"/>
          <w:sz w:val="24"/>
          <w:szCs w:val="24"/>
        </w:rPr>
      </w:pPr>
      <w:r>
        <w:rPr>
          <w:rFonts w:hint="eastAsia" w:ascii="仿宋" w:hAnsi="仿宋" w:eastAsia="仿宋" w:cs="仿宋"/>
          <w:sz w:val="24"/>
          <w:szCs w:val="24"/>
        </w:rPr>
        <w:t>五、商务和技术偏差表</w:t>
      </w:r>
    </w:p>
    <w:p w14:paraId="026750FD">
      <w:pPr>
        <w:spacing w:line="540" w:lineRule="exact"/>
        <w:rPr>
          <w:rFonts w:hint="eastAsia" w:ascii="仿宋" w:hAnsi="仿宋" w:eastAsia="仿宋" w:cs="仿宋"/>
          <w:sz w:val="24"/>
          <w:szCs w:val="24"/>
        </w:rPr>
      </w:pPr>
      <w:r>
        <w:rPr>
          <w:rFonts w:hint="eastAsia" w:ascii="仿宋" w:hAnsi="仿宋" w:eastAsia="仿宋" w:cs="仿宋"/>
          <w:sz w:val="24"/>
          <w:szCs w:val="24"/>
        </w:rPr>
        <w:t>六、报价表</w:t>
      </w:r>
    </w:p>
    <w:p w14:paraId="68084E49">
      <w:pPr>
        <w:spacing w:line="540" w:lineRule="exact"/>
        <w:rPr>
          <w:rFonts w:hint="eastAsia" w:ascii="仿宋" w:hAnsi="仿宋" w:eastAsia="仿宋" w:cs="仿宋"/>
          <w:sz w:val="24"/>
          <w:szCs w:val="24"/>
        </w:rPr>
      </w:pPr>
      <w:r>
        <w:rPr>
          <w:rFonts w:hint="eastAsia" w:ascii="仿宋" w:hAnsi="仿宋" w:eastAsia="仿宋" w:cs="仿宋"/>
          <w:sz w:val="24"/>
          <w:szCs w:val="24"/>
        </w:rPr>
        <w:t>七、资格审查资料</w:t>
      </w:r>
    </w:p>
    <w:p w14:paraId="40CF59BA">
      <w:pPr>
        <w:spacing w:line="540" w:lineRule="exact"/>
        <w:rPr>
          <w:rFonts w:hint="eastAsia" w:ascii="仿宋" w:hAnsi="仿宋" w:eastAsia="仿宋" w:cs="仿宋"/>
          <w:sz w:val="24"/>
          <w:szCs w:val="24"/>
        </w:rPr>
      </w:pPr>
      <w:r>
        <w:rPr>
          <w:rFonts w:hint="eastAsia" w:ascii="仿宋" w:hAnsi="仿宋" w:eastAsia="仿宋" w:cs="仿宋"/>
          <w:sz w:val="24"/>
          <w:szCs w:val="24"/>
        </w:rPr>
        <w:t>八、服务方案</w:t>
      </w:r>
    </w:p>
    <w:p w14:paraId="1A7B3899">
      <w:pPr>
        <w:spacing w:line="540" w:lineRule="exact"/>
        <w:rPr>
          <w:rFonts w:hint="eastAsia" w:ascii="仿宋" w:hAnsi="仿宋" w:eastAsia="仿宋" w:cs="仿宋"/>
          <w:sz w:val="24"/>
          <w:szCs w:val="24"/>
        </w:rPr>
      </w:pPr>
      <w:r>
        <w:rPr>
          <w:rFonts w:hint="eastAsia" w:ascii="仿宋" w:hAnsi="仿宋" w:eastAsia="仿宋" w:cs="仿宋"/>
          <w:sz w:val="24"/>
          <w:szCs w:val="24"/>
        </w:rPr>
        <w:t>九、其他资料</w:t>
      </w:r>
    </w:p>
    <w:p w14:paraId="28AC2854">
      <w:pPr>
        <w:spacing w:line="540" w:lineRule="exact"/>
        <w:rPr>
          <w:rFonts w:hint="eastAsia" w:ascii="仿宋" w:hAnsi="仿宋" w:eastAsia="仿宋" w:cs="仿宋"/>
          <w:sz w:val="20"/>
        </w:rPr>
      </w:pPr>
      <w:r>
        <w:rPr>
          <w:rFonts w:hint="eastAsia" w:ascii="仿宋" w:hAnsi="仿宋" w:eastAsia="仿宋" w:cs="仿宋"/>
        </w:rPr>
        <w:br w:type="page"/>
      </w:r>
    </w:p>
    <w:bookmarkEnd w:id="374"/>
    <w:bookmarkEnd w:id="375"/>
    <w:bookmarkEnd w:id="376"/>
    <w:p w14:paraId="397FCCFD">
      <w:pPr>
        <w:pStyle w:val="3"/>
        <w:jc w:val="center"/>
        <w:rPr>
          <w:rFonts w:hint="eastAsia" w:ascii="仿宋" w:hAnsi="仿宋" w:eastAsia="仿宋" w:cs="仿宋"/>
        </w:rPr>
      </w:pPr>
      <w:bookmarkStart w:id="377" w:name="_Toc501460786"/>
      <w:bookmarkStart w:id="378" w:name="_Toc15918"/>
      <w:r>
        <w:rPr>
          <w:rFonts w:hint="eastAsia" w:ascii="仿宋" w:hAnsi="仿宋" w:eastAsia="仿宋" w:cs="仿宋"/>
        </w:rPr>
        <w:t>一、</w:t>
      </w:r>
      <w:bookmarkEnd w:id="377"/>
      <w:bookmarkStart w:id="379" w:name="_Toc352691656"/>
      <w:bookmarkStart w:id="380" w:name="_Toc6931"/>
      <w:bookmarkStart w:id="381" w:name="_Toc369531692"/>
      <w:r>
        <w:rPr>
          <w:rFonts w:hint="eastAsia" w:ascii="仿宋" w:hAnsi="仿宋" w:eastAsia="仿宋" w:cs="仿宋"/>
        </w:rPr>
        <w:t>响应函</w:t>
      </w:r>
      <w:bookmarkEnd w:id="378"/>
    </w:p>
    <w:bookmarkEnd w:id="379"/>
    <w:bookmarkEnd w:id="380"/>
    <w:bookmarkEnd w:id="381"/>
    <w:p w14:paraId="18F836B0">
      <w:pPr>
        <w:spacing w:line="440" w:lineRule="exact"/>
        <w:rPr>
          <w:rFonts w:hint="eastAsia" w:ascii="仿宋" w:hAnsi="仿宋" w:eastAsia="仿宋" w:cs="仿宋"/>
          <w:sz w:val="24"/>
          <w:szCs w:val="24"/>
        </w:rPr>
      </w:pPr>
      <w:r>
        <w:rPr>
          <w:rFonts w:hint="eastAsia" w:ascii="仿宋" w:hAnsi="仿宋" w:eastAsia="仿宋" w:cs="仿宋"/>
          <w:sz w:val="24"/>
          <w:szCs w:val="24"/>
          <w:u w:val="single"/>
        </w:rPr>
        <w:t xml:space="preserve">                  （采购人名称）</w:t>
      </w:r>
      <w:r>
        <w:rPr>
          <w:rFonts w:hint="eastAsia" w:ascii="仿宋" w:hAnsi="仿宋" w:eastAsia="仿宋" w:cs="仿宋"/>
          <w:sz w:val="24"/>
          <w:szCs w:val="24"/>
        </w:rPr>
        <w:t>：</w:t>
      </w:r>
    </w:p>
    <w:p w14:paraId="54A3711A">
      <w:pPr>
        <w:numPr>
          <w:ilvl w:val="0"/>
          <w:numId w:val="3"/>
        </w:num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我方已仔细研究了</w:t>
      </w:r>
      <w:r>
        <w:rPr>
          <w:rFonts w:hint="eastAsia" w:ascii="仿宋" w:hAnsi="仿宋" w:eastAsia="仿宋" w:cs="仿宋"/>
          <w:sz w:val="24"/>
          <w:szCs w:val="24"/>
          <w:u w:val="single"/>
        </w:rPr>
        <w:t xml:space="preserve">                  （项目名称）</w:t>
      </w:r>
      <w:r>
        <w:rPr>
          <w:rFonts w:hint="eastAsia" w:ascii="仿宋" w:hAnsi="仿宋" w:eastAsia="仿宋" w:cs="仿宋"/>
          <w:sz w:val="24"/>
          <w:szCs w:val="24"/>
        </w:rPr>
        <w:t>采购文件的全部内容，愿意以</w:t>
      </w:r>
      <w:r>
        <w:rPr>
          <w:rFonts w:hint="eastAsia" w:ascii="仿宋" w:hAnsi="仿宋" w:eastAsia="仿宋" w:cs="仿宋"/>
          <w:b/>
          <w:bCs/>
          <w:sz w:val="24"/>
          <w:szCs w:val="24"/>
          <w:highlight w:val="yellow"/>
        </w:rPr>
        <w:t>含税价人民币（大写）</w:t>
      </w:r>
      <w:r>
        <w:rPr>
          <w:rFonts w:hint="eastAsia" w:ascii="仿宋" w:hAnsi="仿宋" w:eastAsia="仿宋" w:cs="仿宋"/>
          <w:b/>
          <w:bCs/>
          <w:sz w:val="24"/>
          <w:szCs w:val="24"/>
          <w:highlight w:val="yellow"/>
          <w:u w:val="single"/>
        </w:rPr>
        <w:t xml:space="preserve">             </w:t>
      </w:r>
      <w:r>
        <w:rPr>
          <w:rFonts w:hint="eastAsia" w:ascii="仿宋" w:hAnsi="仿宋" w:eastAsia="仿宋" w:cs="仿宋"/>
          <w:b/>
          <w:bCs/>
          <w:sz w:val="24"/>
          <w:szCs w:val="24"/>
          <w:highlight w:val="yellow"/>
        </w:rPr>
        <w:t>（¥</w:t>
      </w:r>
      <w:r>
        <w:rPr>
          <w:rFonts w:hint="eastAsia" w:ascii="仿宋" w:hAnsi="仿宋" w:eastAsia="仿宋" w:cs="仿宋"/>
          <w:b/>
          <w:bCs/>
          <w:sz w:val="24"/>
          <w:szCs w:val="24"/>
          <w:highlight w:val="yellow"/>
          <w:u w:val="single"/>
        </w:rPr>
        <w:t xml:space="preserve">             </w:t>
      </w:r>
      <w:r>
        <w:rPr>
          <w:rFonts w:hint="eastAsia" w:ascii="仿宋" w:hAnsi="仿宋" w:eastAsia="仿宋" w:cs="仿宋"/>
          <w:b/>
          <w:bCs/>
          <w:sz w:val="24"/>
          <w:szCs w:val="24"/>
          <w:highlight w:val="yellow"/>
        </w:rPr>
        <w:t>）的响应总报价提供本项目全部服务</w:t>
      </w:r>
      <w:r>
        <w:rPr>
          <w:rFonts w:hint="eastAsia" w:ascii="仿宋" w:hAnsi="仿宋" w:eastAsia="仿宋" w:cs="仿宋"/>
          <w:sz w:val="24"/>
          <w:szCs w:val="24"/>
          <w:highlight w:val="yellow"/>
        </w:rPr>
        <w:t>，</w:t>
      </w:r>
      <w:r>
        <w:rPr>
          <w:rFonts w:hint="eastAsia" w:ascii="仿宋" w:hAnsi="仿宋" w:eastAsia="仿宋" w:cs="仿宋"/>
          <w:sz w:val="24"/>
          <w:szCs w:val="24"/>
        </w:rPr>
        <w:t>并按合同约定履行义务。</w:t>
      </w:r>
    </w:p>
    <w:p w14:paraId="543E3A6E">
      <w:pPr>
        <w:numPr>
          <w:ilvl w:val="0"/>
          <w:numId w:val="3"/>
        </w:num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质量要求/服务标准：</w:t>
      </w:r>
      <w:r>
        <w:rPr>
          <w:rFonts w:hint="eastAsia" w:ascii="仿宋" w:hAnsi="仿宋" w:eastAsia="仿宋" w:cs="仿宋"/>
          <w:sz w:val="24"/>
          <w:szCs w:val="24"/>
          <w:u w:val="single"/>
        </w:rPr>
        <w:t>符合国家、地方以及采购文件要求</w:t>
      </w:r>
      <w:r>
        <w:rPr>
          <w:rFonts w:hint="eastAsia" w:ascii="仿宋" w:hAnsi="仿宋" w:eastAsia="仿宋" w:cs="仿宋"/>
          <w:sz w:val="24"/>
          <w:szCs w:val="24"/>
        </w:rPr>
        <w:t>，服务期限：</w:t>
      </w:r>
      <w:r>
        <w:rPr>
          <w:rFonts w:hint="eastAsia" w:ascii="仿宋" w:hAnsi="仿宋" w:eastAsia="仿宋" w:cs="仿宋"/>
          <w:sz w:val="24"/>
          <w:szCs w:val="24"/>
          <w:u w:val="single"/>
        </w:rPr>
        <w:t>满足采购文件要求</w:t>
      </w:r>
      <w:r>
        <w:rPr>
          <w:rFonts w:hint="eastAsia" w:ascii="仿宋" w:hAnsi="仿宋" w:eastAsia="仿宋" w:cs="仿宋"/>
          <w:sz w:val="24"/>
          <w:szCs w:val="24"/>
        </w:rPr>
        <w:t>，按合同约定完成本项目服务工作。</w:t>
      </w:r>
    </w:p>
    <w:p w14:paraId="3D326763">
      <w:pPr>
        <w:numPr>
          <w:ilvl w:val="0"/>
          <w:numId w:val="3"/>
        </w:num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我方的响应文件包括下列内容：</w:t>
      </w:r>
    </w:p>
    <w:p w14:paraId="3C80A5CC">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（1）响应函；</w:t>
      </w:r>
    </w:p>
    <w:p w14:paraId="54CAF4FE">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（2）法定代表人（单位负责人）身份证明或授权委托书；</w:t>
      </w:r>
    </w:p>
    <w:p w14:paraId="6CE80033">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（3）联合体协议书（如有）；</w:t>
      </w:r>
    </w:p>
    <w:p w14:paraId="21C87298">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（4）响应保证金保函格式；</w:t>
      </w:r>
    </w:p>
    <w:p w14:paraId="4C4119E6">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（5）商务和技术偏差表；</w:t>
      </w:r>
    </w:p>
    <w:p w14:paraId="1D5038AA">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（6）报价表；</w:t>
      </w:r>
    </w:p>
    <w:p w14:paraId="15BF38AE">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（7）资格审查资料；</w:t>
      </w:r>
    </w:p>
    <w:p w14:paraId="6F41F94D">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（8）服务方案；</w:t>
      </w:r>
    </w:p>
    <w:p w14:paraId="59579E0D">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（9）其他资料。</w:t>
      </w:r>
    </w:p>
    <w:p w14:paraId="5F03527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响应文件的上述组成部分如存在内容不一致的，以响应函为准。</w:t>
      </w:r>
    </w:p>
    <w:p w14:paraId="1FCB626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4．我方承诺除商务和技术偏差表列出的偏差外，我方响应采购文件的全部要求。</w:t>
      </w:r>
    </w:p>
    <w:p w14:paraId="793FF2F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5．我方承诺在采购文件规定的响应文件有效期内不撤销响应文件。</w:t>
      </w:r>
    </w:p>
    <w:p w14:paraId="47A23C9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6．如我方成交，我方承诺：</w:t>
      </w:r>
    </w:p>
    <w:p w14:paraId="1A68C6ED">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（1）在收到成交通知书后，在成交通知书规定的期限内与你方签订合同；</w:t>
      </w:r>
    </w:p>
    <w:p w14:paraId="420ED8F6">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（2）在签订合同时不向你方提出附加条件；</w:t>
      </w:r>
    </w:p>
    <w:p w14:paraId="1DEF4E84">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（3）按照采购文件要求递交履约保证金；</w:t>
      </w:r>
      <w:bookmarkStart w:id="382" w:name="_Toc1187"/>
      <w:bookmarkStart w:id="383" w:name="_Toc369531694"/>
      <w:bookmarkStart w:id="384" w:name="_Toc352691658"/>
    </w:p>
    <w:p w14:paraId="2FD62AB1">
      <w:pPr>
        <w:spacing w:line="400" w:lineRule="exact"/>
        <w:ind w:firstLine="405"/>
        <w:rPr>
          <w:rFonts w:hint="eastAsia" w:ascii="仿宋" w:hAnsi="仿宋" w:eastAsia="仿宋" w:cs="仿宋"/>
          <w:sz w:val="24"/>
          <w:szCs w:val="24"/>
        </w:rPr>
      </w:pPr>
      <w:r>
        <w:rPr>
          <w:rFonts w:hint="eastAsia" w:ascii="仿宋" w:hAnsi="仿宋" w:eastAsia="仿宋" w:cs="仿宋"/>
          <w:sz w:val="24"/>
          <w:szCs w:val="24"/>
        </w:rPr>
        <w:t>（4</w:t>
      </w:r>
      <w:bookmarkEnd w:id="382"/>
      <w:bookmarkEnd w:id="383"/>
      <w:bookmarkEnd w:id="384"/>
      <w:r>
        <w:rPr>
          <w:rFonts w:hint="eastAsia" w:ascii="仿宋" w:hAnsi="仿宋" w:eastAsia="仿宋" w:cs="仿宋"/>
          <w:sz w:val="24"/>
          <w:szCs w:val="24"/>
        </w:rPr>
        <w:t>）在合同约定的期限内完成合同规定的全部义务。</w:t>
      </w:r>
    </w:p>
    <w:p w14:paraId="132C849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7．我方在此声明，所递交的响应文件及有关资料内容完整、真实和准确，且不存在第一章“询比采购公告”中规定的供应商不得存在的情形。</w:t>
      </w:r>
    </w:p>
    <w:p w14:paraId="4EE1894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（其他补充说明）</w:t>
      </w:r>
      <w:r>
        <w:rPr>
          <w:rFonts w:hint="eastAsia" w:ascii="仿宋" w:hAnsi="仿宋" w:eastAsia="仿宋" w:cs="仿宋"/>
          <w:sz w:val="24"/>
          <w:szCs w:val="24"/>
        </w:rPr>
        <w:t>。</w:t>
      </w:r>
    </w:p>
    <w:p w14:paraId="217C1657">
      <w:pPr>
        <w:spacing w:line="440" w:lineRule="exact"/>
        <w:ind w:firstLine="480" w:firstLineChars="200"/>
        <w:rPr>
          <w:rFonts w:hint="eastAsia" w:ascii="仿宋" w:hAnsi="仿宋" w:eastAsia="仿宋" w:cs="仿宋"/>
          <w:sz w:val="24"/>
          <w:szCs w:val="24"/>
        </w:rPr>
      </w:pPr>
    </w:p>
    <w:bookmarkEnd w:id="360"/>
    <w:bookmarkEnd w:id="361"/>
    <w:bookmarkEnd w:id="362"/>
    <w:bookmarkEnd w:id="363"/>
    <w:bookmarkEnd w:id="364"/>
    <w:bookmarkEnd w:id="365"/>
    <w:bookmarkEnd w:id="366"/>
    <w:bookmarkEnd w:id="367"/>
    <w:bookmarkEnd w:id="368"/>
    <w:p w14:paraId="50549B16">
      <w:pPr>
        <w:spacing w:line="440" w:lineRule="exact"/>
        <w:ind w:firstLine="1440" w:firstLineChars="600"/>
        <w:jc w:val="left"/>
        <w:rPr>
          <w:rFonts w:hint="eastAsia" w:ascii="仿宋" w:hAnsi="仿宋" w:eastAsia="仿宋" w:cs="仿宋"/>
          <w:sz w:val="24"/>
          <w:szCs w:val="24"/>
        </w:rPr>
      </w:pPr>
      <w:bookmarkStart w:id="385" w:name="_Toc16568"/>
      <w:bookmarkEnd w:id="385"/>
      <w:bookmarkStart w:id="386" w:name="_Toc369531696"/>
      <w:bookmarkEnd w:id="386"/>
      <w:bookmarkStart w:id="387" w:name="_Toc16824"/>
      <w:bookmarkEnd w:id="387"/>
      <w:bookmarkStart w:id="388" w:name="_Toc369531695"/>
      <w:bookmarkEnd w:id="388"/>
      <w:bookmarkStart w:id="389" w:name="_Toc352691660"/>
      <w:bookmarkEnd w:id="389"/>
      <w:bookmarkStart w:id="390" w:name="_Toc352691659"/>
      <w:bookmarkEnd w:id="390"/>
      <w:r>
        <w:rPr>
          <w:rFonts w:hint="eastAsia" w:ascii="仿宋" w:hAnsi="仿宋" w:eastAsia="仿宋" w:cs="仿宋"/>
          <w:sz w:val="24"/>
          <w:szCs w:val="24"/>
        </w:rPr>
        <w:t>供 应 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（盖单位章）</w:t>
      </w:r>
    </w:p>
    <w:p w14:paraId="1E1284D7">
      <w:pPr>
        <w:spacing w:line="440" w:lineRule="exact"/>
        <w:jc w:val="left"/>
        <w:rPr>
          <w:rFonts w:hint="eastAsia" w:ascii="仿宋" w:hAnsi="仿宋" w:eastAsia="仿宋" w:cs="仿宋"/>
          <w:sz w:val="24"/>
          <w:szCs w:val="24"/>
        </w:rPr>
      </w:pPr>
      <w:r>
        <w:rPr>
          <w:rFonts w:hint="eastAsia" w:ascii="仿宋" w:hAnsi="仿宋" w:eastAsia="仿宋" w:cs="仿宋"/>
          <w:sz w:val="24"/>
          <w:szCs w:val="24"/>
        </w:rPr>
        <w:t xml:space="preserve">            法定代表人（单位负责人）或其委托代理人：</w:t>
      </w:r>
      <w:r>
        <w:rPr>
          <w:rFonts w:hint="eastAsia" w:ascii="仿宋" w:hAnsi="仿宋" w:eastAsia="仿宋" w:cs="仿宋"/>
          <w:sz w:val="24"/>
          <w:szCs w:val="24"/>
          <w:u w:val="single"/>
        </w:rPr>
        <w:t xml:space="preserve">         （签字或盖章）</w:t>
      </w:r>
    </w:p>
    <w:p w14:paraId="0B62CB1E">
      <w:pPr>
        <w:spacing w:line="440" w:lineRule="exact"/>
        <w:ind w:firstLine="1440" w:firstLineChars="600"/>
        <w:jc w:val="left"/>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18D68A08">
      <w:pPr>
        <w:spacing w:line="440" w:lineRule="exact"/>
        <w:ind w:firstLine="1440" w:firstLineChars="600"/>
        <w:jc w:val="left"/>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3A5B40AA">
      <w:pPr>
        <w:spacing w:line="440" w:lineRule="exact"/>
        <w:ind w:firstLine="1440" w:firstLineChars="600"/>
        <w:jc w:val="left"/>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14:paraId="7071D409">
      <w:pPr>
        <w:spacing w:line="440" w:lineRule="exact"/>
        <w:ind w:firstLine="5400" w:firstLineChars="2250"/>
        <w:jc w:val="righ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E82C018">
      <w:pPr>
        <w:spacing w:line="440" w:lineRule="exact"/>
        <w:rPr>
          <w:rFonts w:hint="eastAsia" w:ascii="仿宋" w:hAnsi="仿宋" w:eastAsia="仿宋" w:cs="仿宋"/>
          <w:sz w:val="24"/>
          <w:szCs w:val="24"/>
        </w:rPr>
      </w:pPr>
    </w:p>
    <w:p w14:paraId="0A6E7EF9">
      <w:pPr>
        <w:spacing w:line="440" w:lineRule="exact"/>
        <w:rPr>
          <w:rFonts w:hint="eastAsia" w:ascii="仿宋" w:hAnsi="仿宋" w:eastAsia="仿宋" w:cs="仿宋"/>
          <w:szCs w:val="21"/>
        </w:rPr>
      </w:pPr>
    </w:p>
    <w:p w14:paraId="067076AC">
      <w:pPr>
        <w:spacing w:line="440" w:lineRule="exact"/>
        <w:rPr>
          <w:rFonts w:hint="eastAsia" w:ascii="仿宋" w:hAnsi="仿宋" w:eastAsia="仿宋" w:cs="仿宋"/>
          <w:sz w:val="20"/>
        </w:rPr>
      </w:pPr>
      <w:bookmarkStart w:id="391" w:name="_Toc300835209"/>
      <w:bookmarkStart w:id="392" w:name="_Toc361508752"/>
      <w:bookmarkStart w:id="393" w:name="_Toc247514246"/>
      <w:bookmarkStart w:id="394" w:name="_Toc247527827"/>
      <w:bookmarkStart w:id="395" w:name="_Toc152045787"/>
      <w:bookmarkStart w:id="396" w:name="_Toc17960"/>
      <w:bookmarkStart w:id="397" w:name="_Toc369531697"/>
      <w:bookmarkStart w:id="398" w:name="_Toc144974856"/>
      <w:bookmarkStart w:id="399" w:name="_Toc152042576"/>
      <w:bookmarkStart w:id="400" w:name="_Toc352691661"/>
      <w:bookmarkStart w:id="401" w:name="_Toc384308375"/>
    </w:p>
    <w:p w14:paraId="0A9BBE8B">
      <w:pPr>
        <w:spacing w:line="440" w:lineRule="exact"/>
        <w:rPr>
          <w:rFonts w:hint="eastAsia" w:ascii="仿宋" w:hAnsi="仿宋" w:eastAsia="仿宋" w:cs="仿宋"/>
          <w:sz w:val="20"/>
        </w:rPr>
      </w:pPr>
      <w:r>
        <w:rPr>
          <w:rFonts w:hint="eastAsia" w:ascii="仿宋" w:hAnsi="仿宋" w:eastAsia="仿宋" w:cs="仿宋"/>
          <w:szCs w:val="21"/>
        </w:rPr>
        <w:br w:type="page"/>
      </w:r>
    </w:p>
    <w:bookmarkEnd w:id="391"/>
    <w:bookmarkEnd w:id="392"/>
    <w:bookmarkEnd w:id="393"/>
    <w:bookmarkEnd w:id="394"/>
    <w:bookmarkEnd w:id="395"/>
    <w:bookmarkEnd w:id="396"/>
    <w:bookmarkEnd w:id="397"/>
    <w:bookmarkEnd w:id="398"/>
    <w:bookmarkEnd w:id="399"/>
    <w:bookmarkEnd w:id="400"/>
    <w:bookmarkEnd w:id="401"/>
    <w:p w14:paraId="353C1846">
      <w:pPr>
        <w:pStyle w:val="3"/>
        <w:jc w:val="center"/>
        <w:rPr>
          <w:rFonts w:hint="eastAsia" w:ascii="仿宋" w:hAnsi="仿宋" w:eastAsia="仿宋" w:cs="仿宋"/>
        </w:rPr>
      </w:pPr>
      <w:bookmarkStart w:id="402" w:name="_Toc23871"/>
      <w:bookmarkStart w:id="403" w:name="_Toc30790"/>
      <w:bookmarkStart w:id="404" w:name="_Toc14208"/>
      <w:bookmarkStart w:id="405" w:name="_Toc501460788"/>
      <w:r>
        <w:rPr>
          <w:rFonts w:hint="eastAsia" w:ascii="仿宋" w:hAnsi="仿宋" w:eastAsia="仿宋" w:cs="仿宋"/>
        </w:rPr>
        <w:t>二、法定代表人（单位负责人）身份证明</w:t>
      </w:r>
      <w:bookmarkEnd w:id="402"/>
      <w:bookmarkEnd w:id="403"/>
      <w:bookmarkEnd w:id="404"/>
    </w:p>
    <w:p w14:paraId="118CBD23">
      <w:pPr>
        <w:spacing w:line="440" w:lineRule="exact"/>
        <w:rPr>
          <w:rFonts w:hint="eastAsia" w:ascii="仿宋" w:hAnsi="仿宋" w:eastAsia="仿宋" w:cs="仿宋"/>
          <w:sz w:val="20"/>
        </w:rPr>
      </w:pPr>
    </w:p>
    <w:p w14:paraId="5CFAECF5">
      <w:pPr>
        <w:spacing w:line="440" w:lineRule="exact"/>
        <w:rPr>
          <w:rFonts w:hint="eastAsia" w:ascii="仿宋" w:hAnsi="仿宋" w:eastAsia="仿宋" w:cs="仿宋"/>
        </w:rPr>
      </w:pPr>
    </w:p>
    <w:p w14:paraId="569DEC41">
      <w:pPr>
        <w:spacing w:line="440" w:lineRule="exact"/>
        <w:rPr>
          <w:rFonts w:hint="eastAsia" w:ascii="仿宋" w:hAnsi="仿宋" w:eastAsia="仿宋" w:cs="仿宋"/>
          <w:sz w:val="24"/>
          <w:szCs w:val="24"/>
          <w:u w:val="single"/>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p>
    <w:p w14:paraId="5F06F78A">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bookmarkStart w:id="406" w:name="_Toc352691662"/>
      <w:bookmarkStart w:id="407" w:name="_Toc369531698"/>
      <w:bookmarkStart w:id="408" w:name="_Toc27897"/>
      <w:r>
        <w:rPr>
          <w:rFonts w:hint="eastAsia" w:ascii="仿宋" w:hAnsi="仿宋" w:eastAsia="仿宋" w:cs="仿宋"/>
          <w:sz w:val="24"/>
          <w:szCs w:val="24"/>
          <w:u w:val="single"/>
        </w:rPr>
        <w:t xml:space="preserve">       </w:t>
      </w:r>
      <w:r>
        <w:rPr>
          <w:rFonts w:hint="eastAsia" w:ascii="仿宋" w:hAnsi="仿宋" w:eastAsia="仿宋" w:cs="仿宋"/>
          <w:sz w:val="24"/>
          <w:szCs w:val="24"/>
        </w:rPr>
        <w:t>年</w:t>
      </w:r>
      <w:bookmarkEnd w:id="406"/>
      <w:bookmarkEnd w:id="407"/>
      <w:bookmarkEnd w:id="408"/>
      <w:r>
        <w:rPr>
          <w:rFonts w:hint="eastAsia" w:ascii="仿宋" w:hAnsi="仿宋" w:eastAsia="仿宋" w:cs="仿宋"/>
          <w:sz w:val="24"/>
          <w:szCs w:val="24"/>
        </w:rPr>
        <w:t>龄</w:t>
      </w:r>
      <w:bookmarkStart w:id="409" w:name="_Toc152045789"/>
      <w:bookmarkStart w:id="410" w:name="_Toc247527829"/>
      <w:bookmarkStart w:id="411" w:name="_Toc144974858"/>
      <w:bookmarkStart w:id="412" w:name="_Toc352691663"/>
      <w:bookmarkStart w:id="413" w:name="_Toc361508754"/>
      <w:bookmarkStart w:id="414" w:name="_Toc369531699"/>
      <w:bookmarkStart w:id="415" w:name="_Toc300835211"/>
      <w:bookmarkStart w:id="416" w:name="_Toc247514248"/>
      <w:bookmarkStart w:id="417" w:name="_Toc152042578"/>
      <w:bookmarkStart w:id="418" w:name="_Toc384308377"/>
      <w:bookmarkStart w:id="419" w:name="_Toc15573"/>
      <w:r>
        <w:rPr>
          <w:rFonts w:hint="eastAsia" w:ascii="仿宋" w:hAnsi="仿宋" w:eastAsia="仿宋" w:cs="仿宋"/>
          <w:sz w:val="24"/>
          <w:szCs w:val="24"/>
        </w:rPr>
        <w:t>：</w:t>
      </w:r>
      <w:bookmarkEnd w:id="409"/>
      <w:bookmarkEnd w:id="410"/>
      <w:bookmarkEnd w:id="411"/>
      <w:bookmarkEnd w:id="412"/>
      <w:bookmarkEnd w:id="413"/>
      <w:bookmarkEnd w:id="414"/>
      <w:bookmarkEnd w:id="415"/>
      <w:bookmarkEnd w:id="416"/>
      <w:bookmarkEnd w:id="417"/>
      <w:bookmarkEnd w:id="418"/>
      <w:bookmarkEnd w:id="419"/>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7F2D0644">
      <w:pPr>
        <w:spacing w:line="440" w:lineRule="exact"/>
        <w:rPr>
          <w:rFonts w:hint="eastAsia" w:ascii="仿宋" w:hAnsi="仿宋" w:eastAsia="仿宋" w:cs="仿宋"/>
          <w:sz w:val="24"/>
          <w:szCs w:val="24"/>
        </w:rPr>
      </w:pPr>
      <w:r>
        <w:rPr>
          <w:rFonts w:hint="eastAsia" w:ascii="仿宋" w:hAnsi="仿宋" w:eastAsia="仿宋" w:cs="仿宋"/>
          <w:sz w:val="24"/>
          <w:szCs w:val="24"/>
        </w:rPr>
        <w:t>系（供应商名称）的法定代表人（单位负责人）。</w:t>
      </w:r>
    </w:p>
    <w:p w14:paraId="030A916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14:paraId="670C7B36">
      <w:pPr>
        <w:spacing w:line="440" w:lineRule="exact"/>
        <w:rPr>
          <w:rFonts w:hint="eastAsia" w:ascii="仿宋" w:hAnsi="仿宋" w:eastAsia="仿宋" w:cs="仿宋"/>
          <w:sz w:val="24"/>
          <w:szCs w:val="24"/>
        </w:rPr>
      </w:pPr>
    </w:p>
    <w:p w14:paraId="54056FFF">
      <w:pPr>
        <w:spacing w:line="440" w:lineRule="exact"/>
        <w:rPr>
          <w:rFonts w:hint="eastAsia" w:ascii="仿宋" w:hAnsi="仿宋" w:eastAsia="仿宋" w:cs="仿宋"/>
          <w:sz w:val="24"/>
          <w:szCs w:val="24"/>
        </w:rPr>
      </w:pPr>
      <w:r>
        <w:rPr>
          <w:rFonts w:hint="eastAsia" w:ascii="仿宋" w:hAnsi="仿宋" w:eastAsia="仿宋" w:cs="仿宋"/>
          <w:sz w:val="24"/>
          <w:szCs w:val="24"/>
        </w:rPr>
        <w:t>附：法定代表人（单位负责人）身份证。</w:t>
      </w:r>
    </w:p>
    <w:p w14:paraId="396B0BF4">
      <w:pPr>
        <w:spacing w:line="440" w:lineRule="exact"/>
        <w:rPr>
          <w:rFonts w:hint="eastAsia" w:ascii="仿宋" w:hAnsi="仿宋" w:eastAsia="仿宋" w:cs="仿宋"/>
          <w:sz w:val="24"/>
          <w:szCs w:val="24"/>
        </w:rPr>
      </w:pPr>
    </w:p>
    <w:p w14:paraId="30EE177B">
      <w:pPr>
        <w:spacing w:line="440" w:lineRule="exact"/>
        <w:rPr>
          <w:rFonts w:hint="eastAsia" w:ascii="仿宋" w:hAnsi="仿宋" w:eastAsia="仿宋" w:cs="仿宋"/>
          <w:sz w:val="24"/>
          <w:szCs w:val="24"/>
        </w:rPr>
      </w:pPr>
    </w:p>
    <w:p w14:paraId="0460FD8A">
      <w:pPr>
        <w:spacing w:line="440" w:lineRule="exact"/>
        <w:rPr>
          <w:rFonts w:hint="eastAsia" w:ascii="仿宋" w:hAnsi="仿宋" w:eastAsia="仿宋" w:cs="仿宋"/>
          <w:sz w:val="24"/>
          <w:szCs w:val="24"/>
        </w:rPr>
      </w:pPr>
    </w:p>
    <w:p w14:paraId="4A9BA1BC">
      <w:pPr>
        <w:spacing w:line="440" w:lineRule="exact"/>
        <w:jc w:val="right"/>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14:paraId="3DD08707">
      <w:pPr>
        <w:spacing w:line="440" w:lineRule="exact"/>
        <w:rPr>
          <w:rFonts w:hint="eastAsia" w:ascii="仿宋" w:hAnsi="仿宋" w:eastAsia="仿宋" w:cs="仿宋"/>
          <w:sz w:val="24"/>
          <w:szCs w:val="24"/>
        </w:rPr>
      </w:pPr>
    </w:p>
    <w:p w14:paraId="226654A9">
      <w:pPr>
        <w:jc w:val="right"/>
        <w:rPr>
          <w:rFonts w:hint="eastAsia" w:ascii="仿宋" w:hAnsi="仿宋" w:eastAsia="仿宋" w:cs="仿宋"/>
          <w:sz w:val="24"/>
          <w:szCs w:val="24"/>
        </w:rPr>
      </w:pPr>
      <w:r>
        <w:rPr>
          <w:rFonts w:hint="eastAsia" w:ascii="仿宋" w:hAnsi="仿宋" w:eastAsia="仿宋" w:cs="仿宋"/>
          <w:sz w:val="24"/>
          <w:szCs w:val="24"/>
        </w:rPr>
        <w:t>年   月    日</w:t>
      </w:r>
    </w:p>
    <w:p w14:paraId="5AEEB383">
      <w:pPr>
        <w:jc w:val="right"/>
        <w:rPr>
          <w:rFonts w:hint="eastAsia" w:ascii="仿宋" w:hAnsi="仿宋" w:eastAsia="仿宋" w:cs="仿宋"/>
          <w:sz w:val="24"/>
          <w:szCs w:val="24"/>
        </w:rPr>
      </w:pPr>
      <w:r>
        <w:rPr>
          <w:rFonts w:hint="eastAsia" w:ascii="仿宋" w:hAnsi="仿宋" w:eastAsia="仿宋" w:cs="仿宋"/>
          <w:sz w:val="24"/>
          <w:szCs w:val="24"/>
        </w:rPr>
        <w:br w:type="page"/>
      </w:r>
    </w:p>
    <w:p w14:paraId="2221677A">
      <w:pPr>
        <w:pStyle w:val="3"/>
        <w:spacing w:line="240" w:lineRule="auto"/>
        <w:jc w:val="center"/>
        <w:rPr>
          <w:rFonts w:hint="eastAsia" w:ascii="仿宋" w:hAnsi="仿宋" w:eastAsia="仿宋" w:cs="仿宋"/>
        </w:rPr>
      </w:pPr>
      <w:bookmarkStart w:id="420" w:name="_Toc13878"/>
      <w:bookmarkStart w:id="421" w:name="_Toc11497"/>
      <w:r>
        <w:rPr>
          <w:rFonts w:hint="eastAsia" w:ascii="仿宋" w:hAnsi="仿宋" w:eastAsia="仿宋" w:cs="仿宋"/>
        </w:rPr>
        <w:t>二、授权委托书</w:t>
      </w:r>
      <w:bookmarkEnd w:id="405"/>
      <w:bookmarkEnd w:id="420"/>
      <w:bookmarkEnd w:id="421"/>
    </w:p>
    <w:p w14:paraId="6B9B2D52">
      <w:pPr>
        <w:spacing w:line="440" w:lineRule="exact"/>
        <w:rPr>
          <w:rFonts w:hint="eastAsia" w:ascii="仿宋" w:hAnsi="仿宋" w:eastAsia="仿宋" w:cs="仿宋"/>
        </w:rPr>
      </w:pPr>
    </w:p>
    <w:p w14:paraId="3741CAEC">
      <w:pPr>
        <w:topLinePunct/>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rPr>
        <w:t xml:space="preserve">              （姓名）</w:t>
      </w:r>
      <w:r>
        <w:rPr>
          <w:rFonts w:hint="eastAsia" w:ascii="仿宋" w:hAnsi="仿宋" w:eastAsia="仿宋" w:cs="仿宋"/>
          <w:sz w:val="24"/>
          <w:szCs w:val="24"/>
        </w:rPr>
        <w:t>系</w:t>
      </w:r>
      <w:r>
        <w:rPr>
          <w:rFonts w:hint="eastAsia" w:ascii="仿宋" w:hAnsi="仿宋" w:eastAsia="仿宋" w:cs="仿宋"/>
          <w:sz w:val="24"/>
          <w:szCs w:val="24"/>
          <w:u w:val="single"/>
        </w:rPr>
        <w:t xml:space="preserve">                    （供应商名称）</w:t>
      </w:r>
      <w:r>
        <w:rPr>
          <w:rFonts w:hint="eastAsia" w:ascii="仿宋" w:hAnsi="仿宋" w:eastAsia="仿宋" w:cs="仿宋"/>
          <w:sz w:val="24"/>
          <w:szCs w:val="24"/>
        </w:rPr>
        <w:t>的法定代表人（单位负责人），现委托</w:t>
      </w:r>
      <w:r>
        <w:rPr>
          <w:rFonts w:hint="eastAsia" w:ascii="仿宋" w:hAnsi="仿宋" w:eastAsia="仿宋" w:cs="仿宋"/>
          <w:sz w:val="24"/>
          <w:szCs w:val="24"/>
          <w:u w:val="single"/>
        </w:rPr>
        <w:t xml:space="preserve">            （姓名）</w:t>
      </w:r>
      <w:r>
        <w:rPr>
          <w:rFonts w:hint="eastAsia" w:ascii="仿宋" w:hAnsi="仿宋" w:eastAsia="仿宋" w:cs="仿宋"/>
          <w:sz w:val="24"/>
          <w:szCs w:val="24"/>
        </w:rPr>
        <w:t>为我方代理人。代理人根据授权，以我方名义签署、澄清确认、递交、撤回、修改</w:t>
      </w:r>
      <w:r>
        <w:rPr>
          <w:rFonts w:hint="eastAsia" w:ascii="仿宋" w:hAnsi="仿宋" w:eastAsia="仿宋" w:cs="仿宋"/>
          <w:sz w:val="24"/>
          <w:szCs w:val="24"/>
          <w:u w:val="single"/>
        </w:rPr>
        <w:t xml:space="preserve">            </w:t>
      </w:r>
      <w:r>
        <w:rPr>
          <w:rFonts w:hint="eastAsia" w:ascii="仿宋" w:hAnsi="仿宋" w:eastAsia="仿宋" w:cs="仿宋"/>
          <w:sz w:val="24"/>
          <w:szCs w:val="24"/>
        </w:rPr>
        <w:t>询比采购项目响应文件、签订合同和处理有关事宜，其法律后果由我方承担。</w:t>
      </w:r>
    </w:p>
    <w:p w14:paraId="19E9FA2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委托期限：自本委托书签署之日起至询比采购项目签订成交合同之日止。</w:t>
      </w:r>
    </w:p>
    <w:p w14:paraId="183E46D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14:paraId="1EC7B831">
      <w:pPr>
        <w:spacing w:line="440" w:lineRule="exact"/>
        <w:ind w:firstLine="480" w:firstLineChars="200"/>
        <w:rPr>
          <w:rFonts w:hint="eastAsia" w:ascii="仿宋" w:hAnsi="仿宋" w:eastAsia="仿宋" w:cs="仿宋"/>
          <w:sz w:val="24"/>
          <w:szCs w:val="24"/>
        </w:rPr>
      </w:pPr>
    </w:p>
    <w:p w14:paraId="18446D08">
      <w:pPr>
        <w:spacing w:line="440" w:lineRule="exact"/>
        <w:rPr>
          <w:rFonts w:hint="eastAsia" w:ascii="仿宋" w:hAnsi="仿宋" w:eastAsia="仿宋" w:cs="仿宋"/>
          <w:sz w:val="24"/>
          <w:szCs w:val="24"/>
        </w:rPr>
      </w:pPr>
      <w:r>
        <w:rPr>
          <w:rFonts w:hint="eastAsia" w:ascii="仿宋" w:hAnsi="仿宋" w:eastAsia="仿宋" w:cs="仿宋"/>
          <w:sz w:val="24"/>
          <w:szCs w:val="24"/>
        </w:rPr>
        <w:t>附：法定代表人（单位负责人）身份证及委托代理人身份证。</w:t>
      </w:r>
    </w:p>
    <w:p w14:paraId="02029F2B">
      <w:pPr>
        <w:spacing w:line="440" w:lineRule="exact"/>
        <w:rPr>
          <w:rFonts w:hint="eastAsia" w:ascii="仿宋" w:hAnsi="仿宋" w:eastAsia="仿宋" w:cs="仿宋"/>
          <w:sz w:val="24"/>
          <w:szCs w:val="24"/>
        </w:rPr>
      </w:pPr>
    </w:p>
    <w:p w14:paraId="530449D0">
      <w:pPr>
        <w:spacing w:line="440" w:lineRule="exact"/>
        <w:rPr>
          <w:rFonts w:hint="eastAsia" w:ascii="仿宋" w:hAnsi="仿宋" w:eastAsia="仿宋" w:cs="仿宋"/>
          <w:sz w:val="24"/>
          <w:szCs w:val="24"/>
        </w:rPr>
      </w:pPr>
    </w:p>
    <w:p w14:paraId="793F9D37">
      <w:pPr>
        <w:spacing w:line="440" w:lineRule="exact"/>
        <w:ind w:firstLine="1680" w:firstLineChars="700"/>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（盖单位章）</w:t>
      </w:r>
    </w:p>
    <w:p w14:paraId="77FEBD45">
      <w:pPr>
        <w:spacing w:line="440" w:lineRule="exact"/>
        <w:ind w:firstLine="3076" w:firstLineChars="1282"/>
        <w:rPr>
          <w:rFonts w:hint="eastAsia" w:ascii="仿宋" w:hAnsi="仿宋" w:eastAsia="仿宋" w:cs="仿宋"/>
          <w:sz w:val="24"/>
          <w:szCs w:val="24"/>
        </w:rPr>
      </w:pPr>
    </w:p>
    <w:p w14:paraId="1CFF4B93">
      <w:pPr>
        <w:spacing w:line="440" w:lineRule="exact"/>
        <w:ind w:firstLine="1680" w:firstLineChars="700"/>
        <w:jc w:val="left"/>
        <w:rPr>
          <w:rFonts w:hint="eastAsia" w:ascii="仿宋" w:hAnsi="仿宋" w:eastAsia="仿宋" w:cs="仿宋"/>
          <w:sz w:val="24"/>
          <w:szCs w:val="24"/>
        </w:rPr>
      </w:pPr>
      <w:r>
        <w:rPr>
          <w:rFonts w:hint="eastAsia" w:ascii="仿宋" w:hAnsi="仿宋" w:eastAsia="仿宋" w:cs="仿宋"/>
          <w:sz w:val="24"/>
          <w:szCs w:val="24"/>
        </w:rPr>
        <w:t>法定代表人（单位负责人）：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（签字或盖章）</w:t>
      </w:r>
    </w:p>
    <w:p w14:paraId="1FFC88CF">
      <w:pPr>
        <w:spacing w:line="440" w:lineRule="exact"/>
        <w:ind w:firstLine="3076" w:firstLineChars="1282"/>
        <w:rPr>
          <w:rFonts w:hint="eastAsia" w:ascii="仿宋" w:hAnsi="仿宋" w:eastAsia="仿宋" w:cs="仿宋"/>
          <w:sz w:val="24"/>
          <w:szCs w:val="24"/>
        </w:rPr>
      </w:pPr>
    </w:p>
    <w:p w14:paraId="26FA9E9E">
      <w:pPr>
        <w:spacing w:line="440" w:lineRule="exact"/>
        <w:ind w:firstLine="1680" w:firstLineChars="700"/>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13597326">
      <w:pPr>
        <w:spacing w:line="440" w:lineRule="exact"/>
        <w:ind w:firstLine="3076" w:firstLineChars="1282"/>
        <w:rPr>
          <w:rFonts w:hint="eastAsia" w:ascii="仿宋" w:hAnsi="仿宋" w:eastAsia="仿宋" w:cs="仿宋"/>
          <w:sz w:val="24"/>
          <w:szCs w:val="24"/>
        </w:rPr>
      </w:pPr>
    </w:p>
    <w:p w14:paraId="58400299">
      <w:pPr>
        <w:spacing w:line="440" w:lineRule="exact"/>
        <w:ind w:firstLine="3076" w:firstLineChars="1282"/>
        <w:rPr>
          <w:rFonts w:hint="eastAsia" w:ascii="仿宋" w:hAnsi="仿宋" w:eastAsia="仿宋" w:cs="仿宋"/>
          <w:sz w:val="24"/>
          <w:szCs w:val="24"/>
        </w:rPr>
      </w:pPr>
    </w:p>
    <w:p w14:paraId="65BAEB5F">
      <w:pPr>
        <w:spacing w:line="440" w:lineRule="exact"/>
        <w:ind w:firstLine="3076" w:firstLineChars="1282"/>
        <w:rPr>
          <w:rFonts w:hint="eastAsia" w:ascii="仿宋" w:hAnsi="仿宋" w:eastAsia="仿宋" w:cs="仿宋"/>
          <w:sz w:val="24"/>
          <w:szCs w:val="24"/>
        </w:rPr>
      </w:pPr>
    </w:p>
    <w:p w14:paraId="59B04139">
      <w:pPr>
        <w:spacing w:line="440" w:lineRule="exact"/>
        <w:ind w:firstLine="3076" w:firstLineChars="1282"/>
        <w:rPr>
          <w:rFonts w:hint="eastAsia" w:ascii="仿宋" w:hAnsi="仿宋" w:eastAsia="仿宋" w:cs="仿宋"/>
          <w:sz w:val="24"/>
          <w:szCs w:val="24"/>
        </w:rPr>
      </w:pPr>
    </w:p>
    <w:p w14:paraId="08F311C5">
      <w:pPr>
        <w:spacing w:line="440" w:lineRule="exact"/>
        <w:ind w:firstLine="4636" w:firstLineChars="1932"/>
        <w:jc w:val="righ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52EBAE3">
      <w:pPr>
        <w:spacing w:line="440" w:lineRule="exact"/>
        <w:ind w:firstLine="4057" w:firstLineChars="1932"/>
        <w:jc w:val="right"/>
        <w:rPr>
          <w:rFonts w:hint="eastAsia" w:ascii="仿宋" w:hAnsi="仿宋" w:eastAsia="仿宋" w:cs="仿宋"/>
        </w:rPr>
      </w:pPr>
    </w:p>
    <w:p w14:paraId="67518FC4">
      <w:pPr>
        <w:spacing w:line="440" w:lineRule="exact"/>
        <w:ind w:firstLine="4057" w:firstLineChars="1932"/>
        <w:jc w:val="right"/>
        <w:rPr>
          <w:rFonts w:hint="eastAsia" w:ascii="仿宋" w:hAnsi="仿宋" w:eastAsia="仿宋" w:cs="仿宋"/>
        </w:rPr>
      </w:pPr>
      <w:r>
        <w:rPr>
          <w:rFonts w:hint="eastAsia" w:ascii="仿宋" w:hAnsi="仿宋" w:eastAsia="仿宋" w:cs="仿宋"/>
        </w:rPr>
        <w:br w:type="page"/>
      </w:r>
    </w:p>
    <w:p w14:paraId="5C41F509">
      <w:pPr>
        <w:pStyle w:val="3"/>
        <w:spacing w:line="240" w:lineRule="auto"/>
        <w:jc w:val="center"/>
        <w:rPr>
          <w:rFonts w:hint="eastAsia" w:ascii="仿宋" w:hAnsi="仿宋" w:eastAsia="仿宋" w:cs="仿宋"/>
        </w:rPr>
      </w:pPr>
      <w:bookmarkStart w:id="422" w:name="_Toc501460789"/>
      <w:bookmarkStart w:id="423" w:name="_Toc46"/>
      <w:r>
        <w:rPr>
          <w:rFonts w:hint="eastAsia" w:ascii="仿宋" w:hAnsi="仿宋" w:eastAsia="仿宋" w:cs="仿宋"/>
        </w:rPr>
        <w:t>三、联合体协议书</w:t>
      </w:r>
      <w:bookmarkEnd w:id="422"/>
      <w:bookmarkEnd w:id="423"/>
    </w:p>
    <w:p w14:paraId="2EAE61FD">
      <w:pPr>
        <w:topLinePunct/>
        <w:spacing w:line="44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（本项目不适用）</w:t>
      </w:r>
    </w:p>
    <w:p w14:paraId="34B05DF9"/>
    <w:p w14:paraId="223C12DC">
      <w:pPr>
        <w:topLinePunct/>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（所有成员单位名称）</w:t>
      </w:r>
      <w:r>
        <w:rPr>
          <w:rFonts w:hint="eastAsia" w:ascii="仿宋" w:hAnsi="仿宋" w:eastAsia="仿宋" w:cs="仿宋"/>
          <w:sz w:val="24"/>
          <w:szCs w:val="24"/>
        </w:rPr>
        <w:t>自愿组成</w:t>
      </w:r>
      <w:r>
        <w:rPr>
          <w:rFonts w:hint="eastAsia" w:ascii="仿宋" w:hAnsi="仿宋" w:eastAsia="仿宋" w:cs="仿宋"/>
          <w:sz w:val="24"/>
          <w:szCs w:val="24"/>
          <w:u w:val="single"/>
        </w:rPr>
        <w:t xml:space="preserve">        （联合体名称）</w:t>
      </w:r>
      <w:r>
        <w:rPr>
          <w:rFonts w:hint="eastAsia" w:ascii="仿宋" w:hAnsi="仿宋" w:eastAsia="仿宋" w:cs="仿宋"/>
          <w:sz w:val="24"/>
          <w:szCs w:val="24"/>
        </w:rPr>
        <w:t>联合体，共同参加</w:t>
      </w:r>
      <w:r>
        <w:rPr>
          <w:rFonts w:hint="eastAsia" w:ascii="仿宋" w:hAnsi="仿宋" w:eastAsia="仿宋" w:cs="仿宋"/>
          <w:sz w:val="24"/>
          <w:szCs w:val="24"/>
          <w:u w:val="single"/>
        </w:rPr>
        <w:t xml:space="preserve">              （项目名称）</w:t>
      </w:r>
      <w:r>
        <w:rPr>
          <w:rFonts w:hint="eastAsia" w:ascii="仿宋" w:hAnsi="仿宋" w:eastAsia="仿宋" w:cs="仿宋"/>
          <w:sz w:val="24"/>
          <w:szCs w:val="24"/>
        </w:rPr>
        <w:t>询比活动。现就组成联合体事宜订立如下协议。</w:t>
      </w:r>
    </w:p>
    <w:p w14:paraId="656F18D7">
      <w:pPr>
        <w:topLinePunct/>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u w:val="single"/>
        </w:rPr>
        <w:t xml:space="preserve">                  </w:t>
      </w:r>
      <w:r>
        <w:rPr>
          <w:rFonts w:hint="eastAsia" w:ascii="仿宋" w:hAnsi="仿宋" w:eastAsia="仿宋" w:cs="仿宋"/>
          <w:sz w:val="24"/>
          <w:szCs w:val="24"/>
        </w:rPr>
        <w:t>（某成员单位名称）为</w:t>
      </w:r>
      <w:r>
        <w:rPr>
          <w:rFonts w:hint="eastAsia" w:ascii="仿宋" w:hAnsi="仿宋" w:eastAsia="仿宋" w:cs="仿宋"/>
          <w:sz w:val="24"/>
          <w:szCs w:val="24"/>
          <w:u w:val="single"/>
        </w:rPr>
        <w:t xml:space="preserve">        </w:t>
      </w:r>
      <w:r>
        <w:rPr>
          <w:rFonts w:hint="eastAsia" w:ascii="仿宋" w:hAnsi="仿宋" w:eastAsia="仿宋" w:cs="仿宋"/>
          <w:sz w:val="24"/>
          <w:szCs w:val="24"/>
        </w:rPr>
        <w:t>（联合体名称）牵头人。</w:t>
      </w:r>
    </w:p>
    <w:p w14:paraId="4E643853">
      <w:pPr>
        <w:topLinePunct/>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联合体各成员授权牵头人代表联合体参加询比采购活动，签署文件，递交和接收相</w:t>
      </w:r>
      <w:bookmarkStart w:id="424" w:name="_Toc152042579"/>
      <w:bookmarkStart w:id="425" w:name="_Toc247527830"/>
      <w:bookmarkStart w:id="426" w:name="_Toc152045790"/>
      <w:bookmarkStart w:id="427" w:name="_Toc247514249"/>
      <w:bookmarkStart w:id="428" w:name="_Toc144974859"/>
      <w:bookmarkStart w:id="429" w:name="_Toc384308378"/>
      <w:bookmarkStart w:id="430" w:name="_Toc361508755"/>
      <w:bookmarkStart w:id="431" w:name="_Toc300835212"/>
      <w:r>
        <w:rPr>
          <w:rFonts w:hint="eastAsia" w:ascii="仿宋" w:hAnsi="仿宋" w:eastAsia="仿宋" w:cs="仿宋"/>
          <w:sz w:val="24"/>
          <w:szCs w:val="24"/>
        </w:rPr>
        <w:t>关的</w:t>
      </w:r>
      <w:bookmarkStart w:id="432" w:name="_Toc369531700"/>
      <w:bookmarkStart w:id="433" w:name="_Toc7749"/>
      <w:bookmarkStart w:id="434" w:name="_Toc352691664"/>
      <w:r>
        <w:rPr>
          <w:rFonts w:hint="eastAsia" w:ascii="仿宋" w:hAnsi="仿宋" w:eastAsia="仿宋" w:cs="仿宋"/>
          <w:sz w:val="24"/>
          <w:szCs w:val="24"/>
        </w:rPr>
        <w:t>资料、信息及</w:t>
      </w:r>
      <w:bookmarkEnd w:id="432"/>
      <w:bookmarkEnd w:id="433"/>
      <w:bookmarkEnd w:id="434"/>
      <w:r>
        <w:rPr>
          <w:rFonts w:hint="eastAsia" w:ascii="仿宋" w:hAnsi="仿宋" w:eastAsia="仿宋" w:cs="仿宋"/>
          <w:sz w:val="24"/>
          <w:szCs w:val="24"/>
        </w:rPr>
        <w:t>指</w:t>
      </w:r>
      <w:bookmarkEnd w:id="424"/>
      <w:bookmarkEnd w:id="425"/>
      <w:bookmarkEnd w:id="426"/>
      <w:bookmarkEnd w:id="427"/>
      <w:bookmarkEnd w:id="428"/>
      <w:bookmarkEnd w:id="429"/>
      <w:bookmarkEnd w:id="430"/>
      <w:bookmarkEnd w:id="431"/>
      <w:r>
        <w:rPr>
          <w:rFonts w:hint="eastAsia" w:ascii="仿宋" w:hAnsi="仿宋" w:eastAsia="仿宋" w:cs="仿宋"/>
          <w:sz w:val="24"/>
          <w:szCs w:val="24"/>
        </w:rPr>
        <w:t>示，进行合同谈判活动，负责合同实施阶段的组织和协调工作，以及处理与本采购项目有关的一切事宜。</w:t>
      </w:r>
    </w:p>
    <w:p w14:paraId="3782BE93">
      <w:pPr>
        <w:topLinePunct/>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w:t>
      </w:r>
      <w:bookmarkStart w:id="435" w:name="_Toc152042580"/>
      <w:bookmarkStart w:id="436" w:name="_Toc361508756"/>
      <w:bookmarkStart w:id="437" w:name="_Toc300835213"/>
      <w:bookmarkStart w:id="438" w:name="_Toc27930"/>
      <w:bookmarkStart w:id="439" w:name="_Toc247527831"/>
      <w:bookmarkStart w:id="440" w:name="_Toc247514283"/>
      <w:bookmarkStart w:id="441" w:name="_Toc352691665"/>
      <w:bookmarkStart w:id="442" w:name="_Toc369531701"/>
      <w:bookmarkStart w:id="443" w:name="_Toc144974860"/>
      <w:bookmarkStart w:id="444" w:name="_Toc384308380"/>
      <w:bookmarkStart w:id="445" w:name="_Toc152045791"/>
      <w:r>
        <w:rPr>
          <w:rFonts w:hint="eastAsia" w:ascii="仿宋" w:hAnsi="仿宋" w:eastAsia="仿宋" w:cs="仿宋"/>
          <w:sz w:val="24"/>
          <w:szCs w:val="24"/>
        </w:rPr>
        <w:t>. 联合体牵头人在本项目中签署的一切文件和处理</w:t>
      </w:r>
      <w:bookmarkEnd w:id="435"/>
      <w:bookmarkEnd w:id="436"/>
      <w:bookmarkEnd w:id="437"/>
      <w:bookmarkEnd w:id="438"/>
      <w:bookmarkEnd w:id="439"/>
      <w:bookmarkEnd w:id="440"/>
      <w:bookmarkEnd w:id="441"/>
      <w:bookmarkEnd w:id="442"/>
      <w:bookmarkEnd w:id="443"/>
      <w:bookmarkEnd w:id="444"/>
      <w:bookmarkEnd w:id="445"/>
      <w:r>
        <w:rPr>
          <w:rFonts w:hint="eastAsia" w:ascii="仿宋" w:hAnsi="仿宋" w:eastAsia="仿宋" w:cs="仿宋"/>
          <w:sz w:val="24"/>
          <w:szCs w:val="24"/>
        </w:rPr>
        <w:t>的一切事宜，联合体各成员均予以承认。联合体各成员将严格按照采购文件、响应文件和合同的要求全面履行义务，并向采购人承担连带责任。</w:t>
      </w:r>
    </w:p>
    <w:p w14:paraId="30C94B1C">
      <w:pPr>
        <w:topLinePunct/>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4.联合体各方承诺不以自己名义单独或参加其他联合体参与本询比采购项目。</w:t>
      </w:r>
    </w:p>
    <w:p w14:paraId="42ECC71E">
      <w:pPr>
        <w:topLinePunct/>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 联合体各成员单位内部的职责分工如下：</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C736E2A">
      <w:pPr>
        <w:topLinePunct/>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 本协议书自所有成员单位法定代表人（单位负责人）或其委托代理人签字并加盖单位章之日起生效，合同履行完毕后自动失效。</w:t>
      </w:r>
    </w:p>
    <w:p w14:paraId="4AB5C01A">
      <w:pPr>
        <w:topLinePunct/>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 本协议书一式</w:t>
      </w:r>
      <w:r>
        <w:rPr>
          <w:rFonts w:hint="eastAsia" w:ascii="仿宋" w:hAnsi="仿宋" w:eastAsia="仿宋" w:cs="仿宋"/>
          <w:sz w:val="24"/>
          <w:szCs w:val="24"/>
          <w:u w:val="single"/>
        </w:rPr>
        <w:t xml:space="preserve">    </w:t>
      </w:r>
      <w:r>
        <w:rPr>
          <w:rFonts w:hint="eastAsia" w:ascii="仿宋" w:hAnsi="仿宋" w:eastAsia="仿宋" w:cs="仿宋"/>
          <w:sz w:val="24"/>
          <w:szCs w:val="24"/>
        </w:rPr>
        <w:t>份，联合体成员和采购人各执一份。</w:t>
      </w:r>
    </w:p>
    <w:p w14:paraId="685C9BA2">
      <w:pPr>
        <w:topLinePunct/>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（注：本协议书由委托代理人签字的，应附授权委托书）</w:t>
      </w:r>
    </w:p>
    <w:p w14:paraId="4A4BF715">
      <w:pPr>
        <w:topLinePunct/>
        <w:spacing w:line="440" w:lineRule="exact"/>
        <w:rPr>
          <w:rFonts w:hint="eastAsia" w:ascii="仿宋" w:hAnsi="仿宋" w:eastAsia="仿宋" w:cs="仿宋"/>
          <w:sz w:val="24"/>
          <w:szCs w:val="24"/>
        </w:rPr>
      </w:pPr>
    </w:p>
    <w:p w14:paraId="270DE4FB">
      <w:pPr>
        <w:topLinePunct/>
        <w:spacing w:line="440" w:lineRule="exact"/>
        <w:ind w:firstLine="1440" w:firstLineChars="600"/>
        <w:rPr>
          <w:rFonts w:hint="eastAsia" w:ascii="仿宋" w:hAnsi="仿宋" w:eastAsia="仿宋" w:cs="仿宋"/>
          <w:sz w:val="24"/>
          <w:szCs w:val="24"/>
        </w:rPr>
      </w:pPr>
      <w:r>
        <w:rPr>
          <w:rFonts w:hint="eastAsia" w:ascii="仿宋" w:hAnsi="仿宋" w:eastAsia="仿宋" w:cs="仿宋"/>
          <w:sz w:val="24"/>
          <w:szCs w:val="24"/>
        </w:rPr>
        <w:t>联合体牵头人名称：</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（盖单位章）</w:t>
      </w:r>
    </w:p>
    <w:p w14:paraId="0D6439DB">
      <w:pPr>
        <w:topLinePunct/>
        <w:spacing w:line="440" w:lineRule="exact"/>
        <w:ind w:firstLine="1440" w:firstLineChars="600"/>
        <w:jc w:val="left"/>
        <w:rPr>
          <w:rFonts w:hint="eastAsia" w:ascii="仿宋" w:hAnsi="仿宋" w:eastAsia="仿宋" w:cs="仿宋"/>
          <w:sz w:val="24"/>
          <w:szCs w:val="24"/>
        </w:rPr>
      </w:pPr>
      <w:r>
        <w:rPr>
          <w:rFonts w:hint="eastAsia" w:ascii="仿宋" w:hAnsi="仿宋" w:eastAsia="仿宋" w:cs="仿宋"/>
          <w:sz w:val="24"/>
          <w:szCs w:val="24"/>
        </w:rPr>
        <w:t>法定代表人（单位负责人）或其委托代理人：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（签字）</w:t>
      </w:r>
    </w:p>
    <w:p w14:paraId="6DA2F33E">
      <w:pPr>
        <w:topLinePunct/>
        <w:spacing w:line="440" w:lineRule="exact"/>
        <w:ind w:firstLine="2752" w:firstLineChars="1147"/>
        <w:jc w:val="left"/>
        <w:rPr>
          <w:rFonts w:hint="eastAsia" w:ascii="仿宋" w:hAnsi="仿宋" w:eastAsia="仿宋" w:cs="仿宋"/>
          <w:sz w:val="24"/>
          <w:szCs w:val="24"/>
        </w:rPr>
      </w:pPr>
    </w:p>
    <w:p w14:paraId="7F8BB824">
      <w:pPr>
        <w:topLinePunct/>
        <w:spacing w:line="440" w:lineRule="exact"/>
        <w:ind w:firstLine="1440" w:firstLineChars="600"/>
        <w:jc w:val="left"/>
        <w:rPr>
          <w:rFonts w:hint="eastAsia" w:ascii="仿宋" w:hAnsi="仿宋" w:eastAsia="仿宋" w:cs="仿宋"/>
          <w:sz w:val="24"/>
          <w:szCs w:val="24"/>
        </w:rPr>
      </w:pPr>
      <w:r>
        <w:rPr>
          <w:rFonts w:hint="eastAsia" w:ascii="仿宋" w:hAnsi="仿宋" w:eastAsia="仿宋" w:cs="仿宋"/>
          <w:sz w:val="24"/>
          <w:szCs w:val="24"/>
        </w:rPr>
        <w:t>联合体成员名称：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（盖单位章）</w:t>
      </w:r>
    </w:p>
    <w:p w14:paraId="41A4C8F8">
      <w:pPr>
        <w:topLinePunct/>
        <w:spacing w:line="440" w:lineRule="exact"/>
        <w:ind w:firstLine="1440" w:firstLineChars="600"/>
        <w:jc w:val="left"/>
        <w:rPr>
          <w:rFonts w:hint="eastAsia" w:ascii="仿宋" w:hAnsi="仿宋" w:eastAsia="仿宋" w:cs="仿宋"/>
          <w:sz w:val="24"/>
          <w:szCs w:val="24"/>
        </w:rPr>
      </w:pPr>
      <w:r>
        <w:rPr>
          <w:rFonts w:hint="eastAsia" w:ascii="仿宋" w:hAnsi="仿宋" w:eastAsia="仿宋" w:cs="仿宋"/>
          <w:sz w:val="24"/>
          <w:szCs w:val="24"/>
        </w:rPr>
        <w:t>法定代表人（单位负责人）或其委托代理人：</w:t>
      </w:r>
      <w:r>
        <w:rPr>
          <w:rFonts w:hint="eastAsia" w:ascii="仿宋" w:hAnsi="仿宋" w:eastAsia="仿宋" w:cs="仿宋"/>
          <w:sz w:val="24"/>
          <w:szCs w:val="24"/>
          <w:u w:val="single"/>
        </w:rPr>
        <w:t xml:space="preserve">         （签字）</w:t>
      </w:r>
    </w:p>
    <w:p w14:paraId="225AC5A6">
      <w:pPr>
        <w:topLinePunct/>
        <w:spacing w:line="440" w:lineRule="exact"/>
        <w:ind w:firstLine="2752" w:firstLineChars="1147"/>
        <w:jc w:val="left"/>
        <w:rPr>
          <w:rFonts w:hint="eastAsia" w:ascii="仿宋" w:hAnsi="仿宋" w:eastAsia="仿宋" w:cs="仿宋"/>
          <w:sz w:val="24"/>
          <w:szCs w:val="24"/>
        </w:rPr>
      </w:pPr>
    </w:p>
    <w:p w14:paraId="33C03DD7">
      <w:pPr>
        <w:topLinePunct/>
        <w:spacing w:line="440" w:lineRule="exact"/>
        <w:ind w:firstLine="1440" w:firstLineChars="600"/>
        <w:jc w:val="left"/>
        <w:rPr>
          <w:rFonts w:hint="eastAsia" w:ascii="仿宋" w:hAnsi="仿宋" w:eastAsia="仿宋" w:cs="仿宋"/>
          <w:sz w:val="24"/>
          <w:szCs w:val="24"/>
        </w:rPr>
      </w:pPr>
      <w:r>
        <w:rPr>
          <w:rFonts w:hint="eastAsia" w:ascii="仿宋" w:hAnsi="仿宋" w:eastAsia="仿宋" w:cs="仿宋"/>
          <w:sz w:val="24"/>
          <w:szCs w:val="24"/>
        </w:rPr>
        <w:t>联合体成员名称：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（盖单位章）</w:t>
      </w:r>
    </w:p>
    <w:p w14:paraId="3F738111">
      <w:pPr>
        <w:topLinePunct/>
        <w:spacing w:line="440" w:lineRule="exact"/>
        <w:ind w:firstLine="1440" w:firstLineChars="600"/>
        <w:jc w:val="left"/>
        <w:rPr>
          <w:rFonts w:hint="eastAsia" w:ascii="仿宋" w:hAnsi="仿宋" w:eastAsia="仿宋" w:cs="仿宋"/>
          <w:sz w:val="24"/>
          <w:szCs w:val="24"/>
        </w:rPr>
      </w:pPr>
      <w:r>
        <w:rPr>
          <w:rFonts w:hint="eastAsia" w:ascii="仿宋" w:hAnsi="仿宋" w:eastAsia="仿宋" w:cs="仿宋"/>
          <w:sz w:val="24"/>
          <w:szCs w:val="24"/>
        </w:rPr>
        <w:t>法定代表人（单位负责人）或其委托代理人：</w:t>
      </w:r>
      <w:r>
        <w:rPr>
          <w:rFonts w:hint="eastAsia" w:ascii="仿宋" w:hAnsi="仿宋" w:eastAsia="仿宋" w:cs="仿宋"/>
          <w:sz w:val="24"/>
          <w:szCs w:val="24"/>
          <w:u w:val="single"/>
        </w:rPr>
        <w:t xml:space="preserve">         （签字）</w:t>
      </w:r>
    </w:p>
    <w:p w14:paraId="689E791E">
      <w:pPr>
        <w:topLinePunct/>
        <w:spacing w:line="440" w:lineRule="exact"/>
        <w:ind w:firstLine="4228" w:firstLineChars="1762"/>
        <w:rPr>
          <w:rFonts w:hint="eastAsia" w:ascii="仿宋" w:hAnsi="仿宋" w:eastAsia="仿宋" w:cs="仿宋"/>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rPr>
        <w:br w:type="page"/>
      </w:r>
    </w:p>
    <w:p w14:paraId="2BAC5826">
      <w:pPr>
        <w:pStyle w:val="3"/>
        <w:spacing w:line="240" w:lineRule="auto"/>
        <w:jc w:val="center"/>
        <w:rPr>
          <w:rFonts w:hint="eastAsia" w:ascii="仿宋" w:hAnsi="仿宋" w:eastAsia="仿宋" w:cs="仿宋"/>
        </w:rPr>
      </w:pPr>
      <w:bookmarkStart w:id="446" w:name="_Toc501460790"/>
      <w:bookmarkStart w:id="447" w:name="_Toc32153"/>
      <w:r>
        <w:rPr>
          <w:rFonts w:hint="eastAsia" w:ascii="仿宋" w:hAnsi="仿宋" w:eastAsia="仿宋" w:cs="仿宋"/>
        </w:rPr>
        <w:t>四、</w:t>
      </w:r>
      <w:bookmarkEnd w:id="446"/>
      <w:bookmarkStart w:id="448" w:name="_Toc152045792"/>
      <w:bookmarkStart w:id="449" w:name="_Toc144974861"/>
      <w:bookmarkStart w:id="450" w:name="_Toc369531702"/>
      <w:bookmarkStart w:id="451" w:name="_Toc384308381"/>
      <w:bookmarkStart w:id="452" w:name="_Toc247527832"/>
      <w:bookmarkStart w:id="453" w:name="_Toc352691666"/>
      <w:bookmarkStart w:id="454" w:name="_Toc13469"/>
      <w:bookmarkStart w:id="455" w:name="_Toc300835214"/>
      <w:bookmarkStart w:id="456" w:name="_Toc361508757"/>
      <w:bookmarkStart w:id="457" w:name="_Toc152042581"/>
      <w:bookmarkStart w:id="458" w:name="_Toc247514284"/>
      <w:r>
        <w:rPr>
          <w:rFonts w:hint="eastAsia" w:ascii="仿宋" w:hAnsi="仿宋" w:eastAsia="仿宋" w:cs="仿宋"/>
        </w:rPr>
        <w:t>响应保证金</w:t>
      </w:r>
      <w:bookmarkEnd w:id="447"/>
    </w:p>
    <w:bookmarkEnd w:id="448"/>
    <w:bookmarkEnd w:id="449"/>
    <w:bookmarkEnd w:id="450"/>
    <w:bookmarkEnd w:id="451"/>
    <w:bookmarkEnd w:id="452"/>
    <w:bookmarkEnd w:id="453"/>
    <w:bookmarkEnd w:id="454"/>
    <w:bookmarkEnd w:id="455"/>
    <w:bookmarkEnd w:id="456"/>
    <w:bookmarkEnd w:id="457"/>
    <w:bookmarkEnd w:id="458"/>
    <w:p w14:paraId="07C433C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（本项目不适用）</w:t>
      </w:r>
    </w:p>
    <w:p w14:paraId="25A70085">
      <w:pPr>
        <w:topLinePunct/>
        <w:spacing w:line="440" w:lineRule="exact"/>
        <w:jc w:val="center"/>
        <w:rPr>
          <w:rFonts w:hint="eastAsia" w:ascii="仿宋" w:hAnsi="仿宋" w:eastAsia="仿宋" w:cs="仿宋"/>
          <w:sz w:val="24"/>
          <w:szCs w:val="24"/>
        </w:rPr>
      </w:pPr>
    </w:p>
    <w:p w14:paraId="25E7942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注：请供应商在此处附响应保证金缴纳回单。</w:t>
      </w:r>
    </w:p>
    <w:p w14:paraId="6DBD4594">
      <w:pPr>
        <w:rPr>
          <w:rFonts w:hint="eastAsia" w:ascii="仿宋" w:hAnsi="仿宋" w:eastAsia="仿宋" w:cs="仿宋"/>
        </w:rPr>
      </w:pPr>
      <w:bookmarkStart w:id="459" w:name="_Toc501460791"/>
      <w:r>
        <w:rPr>
          <w:rFonts w:hint="eastAsia" w:ascii="仿宋" w:hAnsi="仿宋" w:eastAsia="仿宋" w:cs="仿宋"/>
        </w:rPr>
        <w:br w:type="page"/>
      </w:r>
    </w:p>
    <w:p w14:paraId="005BCF6F">
      <w:pPr>
        <w:pStyle w:val="3"/>
        <w:jc w:val="center"/>
        <w:rPr>
          <w:rFonts w:hint="eastAsia" w:ascii="仿宋" w:hAnsi="仿宋" w:eastAsia="仿宋" w:cs="仿宋"/>
        </w:rPr>
      </w:pPr>
      <w:bookmarkStart w:id="460" w:name="_Toc32594"/>
      <w:r>
        <w:rPr>
          <w:rFonts w:hint="eastAsia" w:ascii="仿宋" w:hAnsi="仿宋" w:eastAsia="仿宋" w:cs="仿宋"/>
        </w:rPr>
        <w:t>五、商务和技术偏差表</w:t>
      </w:r>
      <w:bookmarkEnd w:id="459"/>
      <w:bookmarkEnd w:id="460"/>
    </w:p>
    <w:p w14:paraId="33CA758A">
      <w:pPr>
        <w:pStyle w:val="4"/>
        <w:spacing w:before="120" w:after="120" w:line="360" w:lineRule="auto"/>
        <w:ind w:firstLine="0" w:firstLineChars="0"/>
        <w:jc w:val="center"/>
        <w:rPr>
          <w:rFonts w:hint="eastAsia" w:ascii="仿宋" w:hAnsi="仿宋" w:eastAsia="仿宋" w:cs="仿宋"/>
          <w:bCs/>
          <w:kern w:val="0"/>
          <w:sz w:val="24"/>
        </w:rPr>
      </w:pPr>
      <w:bookmarkStart w:id="461" w:name="_Toc196323492"/>
      <w:bookmarkStart w:id="462" w:name="_Toc17210"/>
      <w:bookmarkStart w:id="463" w:name="_Toc10347"/>
      <w:bookmarkStart w:id="464" w:name="_Toc31750"/>
      <w:r>
        <w:rPr>
          <w:rFonts w:hint="eastAsia" w:ascii="仿宋" w:hAnsi="仿宋" w:eastAsia="仿宋" w:cs="仿宋"/>
          <w:bCs/>
          <w:kern w:val="0"/>
          <w:sz w:val="24"/>
        </w:rPr>
        <w:t>（一）商务条款偏差表</w:t>
      </w:r>
      <w:bookmarkEnd w:id="461"/>
      <w:bookmarkEnd w:id="462"/>
      <w:bookmarkEnd w:id="463"/>
      <w:bookmarkEnd w:id="464"/>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14:paraId="2160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vAlign w:val="center"/>
          </w:tcPr>
          <w:p w14:paraId="0C23F7DB">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2821" w:type="dxa"/>
            <w:gridSpan w:val="2"/>
            <w:vAlign w:val="center"/>
          </w:tcPr>
          <w:p w14:paraId="10DE7A79">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kern w:val="0"/>
                <w:sz w:val="24"/>
                <w:szCs w:val="24"/>
              </w:rPr>
              <w:t>采购文件</w:t>
            </w:r>
            <w:r>
              <w:rPr>
                <w:rFonts w:hint="eastAsia" w:ascii="仿宋" w:hAnsi="仿宋" w:eastAsia="仿宋" w:cs="仿宋"/>
                <w:bCs/>
                <w:sz w:val="24"/>
                <w:szCs w:val="24"/>
              </w:rPr>
              <w:t>要求</w:t>
            </w:r>
          </w:p>
        </w:tc>
        <w:tc>
          <w:tcPr>
            <w:tcW w:w="2977" w:type="dxa"/>
            <w:gridSpan w:val="2"/>
            <w:vAlign w:val="center"/>
          </w:tcPr>
          <w:p w14:paraId="405A4CF3">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kern w:val="0"/>
                <w:sz w:val="24"/>
                <w:szCs w:val="24"/>
              </w:rPr>
              <w:t>响应文件</w:t>
            </w:r>
            <w:r>
              <w:rPr>
                <w:rFonts w:hint="eastAsia" w:ascii="仿宋" w:hAnsi="仿宋" w:eastAsia="仿宋" w:cs="仿宋"/>
                <w:bCs/>
                <w:sz w:val="24"/>
                <w:szCs w:val="24"/>
              </w:rPr>
              <w:t>响应</w:t>
            </w:r>
          </w:p>
        </w:tc>
        <w:tc>
          <w:tcPr>
            <w:tcW w:w="1506" w:type="dxa"/>
            <w:vMerge w:val="restart"/>
            <w:vAlign w:val="center"/>
          </w:tcPr>
          <w:p w14:paraId="678A1822">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偏差说明</w:t>
            </w:r>
          </w:p>
        </w:tc>
      </w:tr>
      <w:tr w14:paraId="2E22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925" w:type="dxa"/>
            <w:vMerge w:val="continue"/>
            <w:vAlign w:val="center"/>
          </w:tcPr>
          <w:p w14:paraId="4EDFA6C8">
            <w:pPr>
              <w:widowControl/>
              <w:snapToGrid w:val="0"/>
              <w:spacing w:line="360" w:lineRule="auto"/>
              <w:jc w:val="center"/>
              <w:rPr>
                <w:rFonts w:hint="eastAsia" w:ascii="仿宋" w:hAnsi="仿宋" w:eastAsia="仿宋" w:cs="仿宋"/>
                <w:bCs/>
                <w:sz w:val="24"/>
                <w:szCs w:val="24"/>
              </w:rPr>
            </w:pPr>
          </w:p>
        </w:tc>
        <w:tc>
          <w:tcPr>
            <w:tcW w:w="1545" w:type="dxa"/>
            <w:vAlign w:val="center"/>
          </w:tcPr>
          <w:p w14:paraId="699ADB1D">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章节及条款号</w:t>
            </w:r>
          </w:p>
        </w:tc>
        <w:tc>
          <w:tcPr>
            <w:tcW w:w="1276" w:type="dxa"/>
            <w:vAlign w:val="center"/>
          </w:tcPr>
          <w:p w14:paraId="5B58DD38">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具体要求</w:t>
            </w:r>
          </w:p>
        </w:tc>
        <w:tc>
          <w:tcPr>
            <w:tcW w:w="1559" w:type="dxa"/>
            <w:vAlign w:val="center"/>
          </w:tcPr>
          <w:p w14:paraId="7A870877">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章节及条款号</w:t>
            </w:r>
          </w:p>
        </w:tc>
        <w:tc>
          <w:tcPr>
            <w:tcW w:w="1418" w:type="dxa"/>
            <w:vAlign w:val="center"/>
          </w:tcPr>
          <w:p w14:paraId="72CA0A00">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具体内容</w:t>
            </w:r>
          </w:p>
        </w:tc>
        <w:tc>
          <w:tcPr>
            <w:tcW w:w="1506" w:type="dxa"/>
            <w:vMerge w:val="continue"/>
            <w:vAlign w:val="center"/>
          </w:tcPr>
          <w:p w14:paraId="6D0CCFDA">
            <w:pPr>
              <w:widowControl/>
              <w:snapToGrid w:val="0"/>
              <w:spacing w:line="360" w:lineRule="auto"/>
              <w:jc w:val="center"/>
              <w:rPr>
                <w:rFonts w:hint="eastAsia" w:ascii="仿宋" w:hAnsi="仿宋" w:eastAsia="仿宋" w:cs="仿宋"/>
                <w:bCs/>
                <w:sz w:val="24"/>
                <w:szCs w:val="24"/>
              </w:rPr>
            </w:pPr>
          </w:p>
        </w:tc>
      </w:tr>
      <w:tr w14:paraId="62BB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28536C7E">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1545" w:type="dxa"/>
            <w:vAlign w:val="center"/>
          </w:tcPr>
          <w:p w14:paraId="28E09216">
            <w:pPr>
              <w:widowControl/>
              <w:snapToGrid w:val="0"/>
              <w:spacing w:line="360" w:lineRule="auto"/>
              <w:jc w:val="center"/>
              <w:rPr>
                <w:rFonts w:hint="eastAsia" w:ascii="仿宋" w:hAnsi="仿宋" w:eastAsia="仿宋" w:cs="仿宋"/>
                <w:bCs/>
                <w:sz w:val="24"/>
                <w:szCs w:val="24"/>
              </w:rPr>
            </w:pPr>
          </w:p>
        </w:tc>
        <w:tc>
          <w:tcPr>
            <w:tcW w:w="1276" w:type="dxa"/>
            <w:vAlign w:val="center"/>
          </w:tcPr>
          <w:p w14:paraId="40B194A6">
            <w:pPr>
              <w:widowControl/>
              <w:snapToGrid w:val="0"/>
              <w:spacing w:line="360" w:lineRule="auto"/>
              <w:jc w:val="center"/>
              <w:rPr>
                <w:rFonts w:hint="eastAsia" w:ascii="仿宋" w:hAnsi="仿宋" w:eastAsia="仿宋" w:cs="仿宋"/>
                <w:bCs/>
                <w:sz w:val="24"/>
                <w:szCs w:val="24"/>
              </w:rPr>
            </w:pPr>
          </w:p>
        </w:tc>
        <w:tc>
          <w:tcPr>
            <w:tcW w:w="1559" w:type="dxa"/>
            <w:vAlign w:val="center"/>
          </w:tcPr>
          <w:p w14:paraId="425D5D57">
            <w:pPr>
              <w:widowControl/>
              <w:snapToGrid w:val="0"/>
              <w:spacing w:line="360" w:lineRule="auto"/>
              <w:jc w:val="center"/>
              <w:rPr>
                <w:rFonts w:hint="eastAsia" w:ascii="仿宋" w:hAnsi="仿宋" w:eastAsia="仿宋" w:cs="仿宋"/>
                <w:bCs/>
                <w:sz w:val="24"/>
                <w:szCs w:val="24"/>
              </w:rPr>
            </w:pPr>
          </w:p>
        </w:tc>
        <w:tc>
          <w:tcPr>
            <w:tcW w:w="1418" w:type="dxa"/>
            <w:vAlign w:val="center"/>
          </w:tcPr>
          <w:p w14:paraId="37CEF3EF">
            <w:pPr>
              <w:widowControl/>
              <w:snapToGrid w:val="0"/>
              <w:spacing w:line="360" w:lineRule="auto"/>
              <w:jc w:val="center"/>
              <w:rPr>
                <w:rFonts w:hint="eastAsia" w:ascii="仿宋" w:hAnsi="仿宋" w:eastAsia="仿宋" w:cs="仿宋"/>
                <w:bCs/>
                <w:sz w:val="24"/>
                <w:szCs w:val="24"/>
              </w:rPr>
            </w:pPr>
          </w:p>
        </w:tc>
        <w:tc>
          <w:tcPr>
            <w:tcW w:w="1506" w:type="dxa"/>
            <w:vAlign w:val="center"/>
          </w:tcPr>
          <w:p w14:paraId="344F8091">
            <w:pPr>
              <w:widowControl/>
              <w:snapToGrid w:val="0"/>
              <w:spacing w:line="360" w:lineRule="auto"/>
              <w:jc w:val="center"/>
              <w:rPr>
                <w:rFonts w:hint="eastAsia" w:ascii="仿宋" w:hAnsi="仿宋" w:eastAsia="仿宋" w:cs="仿宋"/>
                <w:bCs/>
                <w:sz w:val="24"/>
                <w:szCs w:val="24"/>
              </w:rPr>
            </w:pPr>
          </w:p>
        </w:tc>
      </w:tr>
      <w:tr w14:paraId="1662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45BE4F00">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1545" w:type="dxa"/>
            <w:vAlign w:val="center"/>
          </w:tcPr>
          <w:p w14:paraId="1790B89C">
            <w:pPr>
              <w:widowControl/>
              <w:snapToGrid w:val="0"/>
              <w:spacing w:line="360" w:lineRule="auto"/>
              <w:jc w:val="center"/>
              <w:rPr>
                <w:rFonts w:hint="eastAsia" w:ascii="仿宋" w:hAnsi="仿宋" w:eastAsia="仿宋" w:cs="仿宋"/>
                <w:bCs/>
                <w:sz w:val="24"/>
                <w:szCs w:val="24"/>
              </w:rPr>
            </w:pPr>
          </w:p>
        </w:tc>
        <w:tc>
          <w:tcPr>
            <w:tcW w:w="1276" w:type="dxa"/>
            <w:vAlign w:val="center"/>
          </w:tcPr>
          <w:p w14:paraId="41A675FA">
            <w:pPr>
              <w:widowControl/>
              <w:snapToGrid w:val="0"/>
              <w:spacing w:line="360" w:lineRule="auto"/>
              <w:jc w:val="center"/>
              <w:rPr>
                <w:rFonts w:hint="eastAsia" w:ascii="仿宋" w:hAnsi="仿宋" w:eastAsia="仿宋" w:cs="仿宋"/>
                <w:bCs/>
                <w:sz w:val="24"/>
                <w:szCs w:val="24"/>
              </w:rPr>
            </w:pPr>
          </w:p>
        </w:tc>
        <w:tc>
          <w:tcPr>
            <w:tcW w:w="1559" w:type="dxa"/>
            <w:vAlign w:val="center"/>
          </w:tcPr>
          <w:p w14:paraId="067B8884">
            <w:pPr>
              <w:widowControl/>
              <w:snapToGrid w:val="0"/>
              <w:spacing w:line="360" w:lineRule="auto"/>
              <w:jc w:val="center"/>
              <w:rPr>
                <w:rFonts w:hint="eastAsia" w:ascii="仿宋" w:hAnsi="仿宋" w:eastAsia="仿宋" w:cs="仿宋"/>
                <w:bCs/>
                <w:sz w:val="24"/>
                <w:szCs w:val="24"/>
              </w:rPr>
            </w:pPr>
          </w:p>
        </w:tc>
        <w:tc>
          <w:tcPr>
            <w:tcW w:w="1418" w:type="dxa"/>
            <w:vAlign w:val="center"/>
          </w:tcPr>
          <w:p w14:paraId="18E9AC6E">
            <w:pPr>
              <w:widowControl/>
              <w:snapToGrid w:val="0"/>
              <w:spacing w:line="360" w:lineRule="auto"/>
              <w:jc w:val="center"/>
              <w:rPr>
                <w:rFonts w:hint="eastAsia" w:ascii="仿宋" w:hAnsi="仿宋" w:eastAsia="仿宋" w:cs="仿宋"/>
                <w:bCs/>
                <w:sz w:val="24"/>
                <w:szCs w:val="24"/>
              </w:rPr>
            </w:pPr>
          </w:p>
        </w:tc>
        <w:tc>
          <w:tcPr>
            <w:tcW w:w="1506" w:type="dxa"/>
            <w:vAlign w:val="center"/>
          </w:tcPr>
          <w:p w14:paraId="038931C3">
            <w:pPr>
              <w:widowControl/>
              <w:snapToGrid w:val="0"/>
              <w:spacing w:line="360" w:lineRule="auto"/>
              <w:jc w:val="center"/>
              <w:rPr>
                <w:rFonts w:hint="eastAsia" w:ascii="仿宋" w:hAnsi="仿宋" w:eastAsia="仿宋" w:cs="仿宋"/>
                <w:bCs/>
                <w:sz w:val="24"/>
                <w:szCs w:val="24"/>
              </w:rPr>
            </w:pPr>
          </w:p>
        </w:tc>
      </w:tr>
      <w:tr w14:paraId="61BE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33CE2244">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1545" w:type="dxa"/>
            <w:vAlign w:val="center"/>
          </w:tcPr>
          <w:p w14:paraId="0F4AA746">
            <w:pPr>
              <w:widowControl/>
              <w:snapToGrid w:val="0"/>
              <w:spacing w:line="360" w:lineRule="auto"/>
              <w:jc w:val="center"/>
              <w:rPr>
                <w:rFonts w:hint="eastAsia" w:ascii="仿宋" w:hAnsi="仿宋" w:eastAsia="仿宋" w:cs="仿宋"/>
                <w:bCs/>
                <w:sz w:val="24"/>
                <w:szCs w:val="24"/>
              </w:rPr>
            </w:pPr>
          </w:p>
        </w:tc>
        <w:tc>
          <w:tcPr>
            <w:tcW w:w="1276" w:type="dxa"/>
            <w:vAlign w:val="center"/>
          </w:tcPr>
          <w:p w14:paraId="06190283">
            <w:pPr>
              <w:widowControl/>
              <w:snapToGrid w:val="0"/>
              <w:spacing w:line="360" w:lineRule="auto"/>
              <w:jc w:val="center"/>
              <w:rPr>
                <w:rFonts w:hint="eastAsia" w:ascii="仿宋" w:hAnsi="仿宋" w:eastAsia="仿宋" w:cs="仿宋"/>
                <w:bCs/>
                <w:sz w:val="24"/>
                <w:szCs w:val="24"/>
              </w:rPr>
            </w:pPr>
          </w:p>
        </w:tc>
        <w:tc>
          <w:tcPr>
            <w:tcW w:w="1559" w:type="dxa"/>
            <w:vAlign w:val="center"/>
          </w:tcPr>
          <w:p w14:paraId="722A4966">
            <w:pPr>
              <w:widowControl/>
              <w:snapToGrid w:val="0"/>
              <w:spacing w:line="360" w:lineRule="auto"/>
              <w:jc w:val="center"/>
              <w:rPr>
                <w:rFonts w:hint="eastAsia" w:ascii="仿宋" w:hAnsi="仿宋" w:eastAsia="仿宋" w:cs="仿宋"/>
                <w:bCs/>
                <w:sz w:val="24"/>
                <w:szCs w:val="24"/>
              </w:rPr>
            </w:pPr>
          </w:p>
        </w:tc>
        <w:tc>
          <w:tcPr>
            <w:tcW w:w="1418" w:type="dxa"/>
            <w:vAlign w:val="center"/>
          </w:tcPr>
          <w:p w14:paraId="59A43AB9">
            <w:pPr>
              <w:widowControl/>
              <w:snapToGrid w:val="0"/>
              <w:spacing w:line="360" w:lineRule="auto"/>
              <w:jc w:val="center"/>
              <w:rPr>
                <w:rFonts w:hint="eastAsia" w:ascii="仿宋" w:hAnsi="仿宋" w:eastAsia="仿宋" w:cs="仿宋"/>
                <w:bCs/>
                <w:sz w:val="24"/>
                <w:szCs w:val="24"/>
              </w:rPr>
            </w:pPr>
          </w:p>
        </w:tc>
        <w:tc>
          <w:tcPr>
            <w:tcW w:w="1506" w:type="dxa"/>
            <w:vAlign w:val="center"/>
          </w:tcPr>
          <w:p w14:paraId="794D1C8F">
            <w:pPr>
              <w:widowControl/>
              <w:snapToGrid w:val="0"/>
              <w:spacing w:line="360" w:lineRule="auto"/>
              <w:jc w:val="center"/>
              <w:rPr>
                <w:rFonts w:hint="eastAsia" w:ascii="仿宋" w:hAnsi="仿宋" w:eastAsia="仿宋" w:cs="仿宋"/>
                <w:bCs/>
                <w:sz w:val="24"/>
                <w:szCs w:val="24"/>
              </w:rPr>
            </w:pPr>
          </w:p>
        </w:tc>
      </w:tr>
      <w:tr w14:paraId="02F6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4EE00456">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1545" w:type="dxa"/>
            <w:vAlign w:val="center"/>
          </w:tcPr>
          <w:p w14:paraId="5CE7759C">
            <w:pPr>
              <w:widowControl/>
              <w:snapToGrid w:val="0"/>
              <w:spacing w:line="360" w:lineRule="auto"/>
              <w:jc w:val="center"/>
              <w:rPr>
                <w:rFonts w:hint="eastAsia" w:ascii="仿宋" w:hAnsi="仿宋" w:eastAsia="仿宋" w:cs="仿宋"/>
                <w:bCs/>
                <w:sz w:val="24"/>
                <w:szCs w:val="24"/>
              </w:rPr>
            </w:pPr>
          </w:p>
        </w:tc>
        <w:tc>
          <w:tcPr>
            <w:tcW w:w="1276" w:type="dxa"/>
            <w:vAlign w:val="center"/>
          </w:tcPr>
          <w:p w14:paraId="1E803A30">
            <w:pPr>
              <w:widowControl/>
              <w:snapToGrid w:val="0"/>
              <w:spacing w:line="360" w:lineRule="auto"/>
              <w:jc w:val="center"/>
              <w:rPr>
                <w:rFonts w:hint="eastAsia" w:ascii="仿宋" w:hAnsi="仿宋" w:eastAsia="仿宋" w:cs="仿宋"/>
                <w:bCs/>
                <w:sz w:val="24"/>
                <w:szCs w:val="24"/>
              </w:rPr>
            </w:pPr>
          </w:p>
        </w:tc>
        <w:tc>
          <w:tcPr>
            <w:tcW w:w="1559" w:type="dxa"/>
            <w:vAlign w:val="center"/>
          </w:tcPr>
          <w:p w14:paraId="4746D6F4">
            <w:pPr>
              <w:widowControl/>
              <w:snapToGrid w:val="0"/>
              <w:spacing w:line="360" w:lineRule="auto"/>
              <w:jc w:val="center"/>
              <w:rPr>
                <w:rFonts w:hint="eastAsia" w:ascii="仿宋" w:hAnsi="仿宋" w:eastAsia="仿宋" w:cs="仿宋"/>
                <w:bCs/>
                <w:sz w:val="24"/>
                <w:szCs w:val="24"/>
              </w:rPr>
            </w:pPr>
          </w:p>
        </w:tc>
        <w:tc>
          <w:tcPr>
            <w:tcW w:w="1418" w:type="dxa"/>
            <w:vAlign w:val="center"/>
          </w:tcPr>
          <w:p w14:paraId="053BE126">
            <w:pPr>
              <w:widowControl/>
              <w:snapToGrid w:val="0"/>
              <w:spacing w:line="360" w:lineRule="auto"/>
              <w:jc w:val="center"/>
              <w:rPr>
                <w:rFonts w:hint="eastAsia" w:ascii="仿宋" w:hAnsi="仿宋" w:eastAsia="仿宋" w:cs="仿宋"/>
                <w:bCs/>
                <w:sz w:val="24"/>
                <w:szCs w:val="24"/>
              </w:rPr>
            </w:pPr>
          </w:p>
        </w:tc>
        <w:tc>
          <w:tcPr>
            <w:tcW w:w="1506" w:type="dxa"/>
            <w:vAlign w:val="center"/>
          </w:tcPr>
          <w:p w14:paraId="1EF5DA72">
            <w:pPr>
              <w:widowControl/>
              <w:snapToGrid w:val="0"/>
              <w:spacing w:line="360" w:lineRule="auto"/>
              <w:jc w:val="center"/>
              <w:rPr>
                <w:rFonts w:hint="eastAsia" w:ascii="仿宋" w:hAnsi="仿宋" w:eastAsia="仿宋" w:cs="仿宋"/>
                <w:bCs/>
                <w:sz w:val="24"/>
                <w:szCs w:val="24"/>
              </w:rPr>
            </w:pPr>
          </w:p>
        </w:tc>
      </w:tr>
    </w:tbl>
    <w:p w14:paraId="612F86A9">
      <w:pPr>
        <w:spacing w:line="360" w:lineRule="auto"/>
        <w:rPr>
          <w:rFonts w:hint="eastAsia" w:ascii="仿宋" w:hAnsi="仿宋" w:eastAsia="仿宋" w:cs="仿宋"/>
          <w:sz w:val="24"/>
          <w:szCs w:val="24"/>
        </w:rPr>
      </w:pPr>
      <w:r>
        <w:rPr>
          <w:rFonts w:hint="eastAsia" w:ascii="仿宋" w:hAnsi="仿宋" w:eastAsia="仿宋" w:cs="仿宋"/>
          <w:sz w:val="24"/>
          <w:szCs w:val="24"/>
        </w:rPr>
        <w:t>注：供应商对付款方式、</w:t>
      </w:r>
      <w:r>
        <w:rPr>
          <w:rFonts w:hint="eastAsia" w:ascii="Times New Roman" w:hAnsi="Times New Roman" w:eastAsia="仿宋"/>
          <w:sz w:val="24"/>
          <w:szCs w:val="24"/>
        </w:rPr>
        <w:t>服务期限、服务地点、</w:t>
      </w:r>
      <w:r>
        <w:rPr>
          <w:rFonts w:hint="eastAsia" w:ascii="仿宋" w:hAnsi="仿宋" w:eastAsia="仿宋" w:cs="仿宋"/>
          <w:sz w:val="24"/>
          <w:szCs w:val="24"/>
        </w:rPr>
        <w:t>质量要求或服务标准</w:t>
      </w:r>
      <w:r>
        <w:rPr>
          <w:rFonts w:hint="eastAsia" w:ascii="Times New Roman" w:hAnsi="Times New Roman" w:eastAsia="仿宋"/>
          <w:sz w:val="24"/>
          <w:szCs w:val="24"/>
        </w:rPr>
        <w:t>及其他商务条款未完全响应的，应当填写上表</w:t>
      </w:r>
      <w:r>
        <w:rPr>
          <w:rFonts w:hint="eastAsia" w:ascii="仿宋" w:hAnsi="仿宋" w:eastAsia="仿宋" w:cs="仿宋"/>
          <w:sz w:val="24"/>
          <w:szCs w:val="24"/>
        </w:rPr>
        <w:t>。</w:t>
      </w:r>
    </w:p>
    <w:p w14:paraId="3339E4DC">
      <w:pPr>
        <w:rPr>
          <w:rFonts w:hint="eastAsia" w:ascii="仿宋" w:hAnsi="仿宋" w:eastAsia="仿宋" w:cs="仿宋"/>
          <w:sz w:val="24"/>
          <w:szCs w:val="24"/>
        </w:rPr>
      </w:pPr>
      <w:r>
        <w:rPr>
          <w:rFonts w:hint="eastAsia" w:ascii="仿宋" w:hAnsi="仿宋" w:eastAsia="仿宋" w:cs="仿宋"/>
          <w:sz w:val="24"/>
          <w:szCs w:val="24"/>
        </w:rPr>
        <w:t>供应商保证：除商务条款偏差表列出的偏差外，供应商响应采购文件的全部要求。</w:t>
      </w:r>
    </w:p>
    <w:p w14:paraId="55DADA56">
      <w:pPr>
        <w:ind w:firstLine="240" w:firstLineChars="100"/>
        <w:rPr>
          <w:rFonts w:hint="eastAsia" w:ascii="仿宋" w:hAnsi="仿宋" w:eastAsia="仿宋" w:cs="仿宋"/>
          <w:sz w:val="24"/>
          <w:szCs w:val="24"/>
        </w:rPr>
      </w:pPr>
    </w:p>
    <w:p w14:paraId="6B152B5E">
      <w:pPr>
        <w:rPr>
          <w:rFonts w:hint="eastAsia" w:ascii="仿宋" w:hAnsi="仿宋" w:eastAsia="仿宋" w:cs="仿宋"/>
        </w:rPr>
      </w:pPr>
      <w:r>
        <w:rPr>
          <w:rFonts w:hint="eastAsia" w:ascii="仿宋" w:hAnsi="仿宋" w:eastAsia="仿宋" w:cs="仿宋"/>
        </w:rPr>
        <w:br w:type="page"/>
      </w:r>
    </w:p>
    <w:p w14:paraId="781854C0">
      <w:pPr>
        <w:pStyle w:val="4"/>
        <w:spacing w:before="0" w:after="0"/>
        <w:ind w:firstLine="137"/>
        <w:jc w:val="center"/>
        <w:rPr>
          <w:rFonts w:hint="eastAsia" w:ascii="仿宋" w:hAnsi="仿宋" w:eastAsia="仿宋" w:cs="仿宋"/>
        </w:rPr>
      </w:pPr>
      <w:bookmarkStart w:id="465" w:name="_Toc196323493"/>
      <w:bookmarkStart w:id="466" w:name="_Toc3525"/>
      <w:bookmarkStart w:id="467" w:name="_Toc5534"/>
      <w:r>
        <w:rPr>
          <w:rFonts w:hint="eastAsia" w:ascii="仿宋" w:hAnsi="仿宋" w:eastAsia="仿宋" w:cs="仿宋"/>
        </w:rPr>
        <w:t>（二）技术条款偏差表</w:t>
      </w:r>
      <w:bookmarkEnd w:id="465"/>
      <w:bookmarkEnd w:id="466"/>
      <w:bookmarkEnd w:id="467"/>
    </w:p>
    <w:p w14:paraId="0F1C5847"/>
    <w:p w14:paraId="15FC61C9"/>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69"/>
        <w:gridCol w:w="977"/>
        <w:gridCol w:w="1150"/>
        <w:gridCol w:w="992"/>
        <w:gridCol w:w="1418"/>
        <w:gridCol w:w="1506"/>
      </w:tblGrid>
      <w:tr w14:paraId="1B91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4808BB54">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3796" w:type="dxa"/>
            <w:gridSpan w:val="3"/>
            <w:tcBorders>
              <w:top w:val="single" w:color="auto" w:sz="4" w:space="0"/>
              <w:left w:val="single" w:color="auto" w:sz="4" w:space="0"/>
              <w:bottom w:val="single" w:color="auto" w:sz="4" w:space="0"/>
              <w:right w:val="single" w:color="auto" w:sz="4" w:space="0"/>
            </w:tcBorders>
            <w:vAlign w:val="center"/>
          </w:tcPr>
          <w:p w14:paraId="33DEBE0B">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kern w:val="0"/>
                <w:sz w:val="24"/>
                <w:szCs w:val="24"/>
              </w:rPr>
              <w:t>采购文件</w:t>
            </w:r>
            <w:r>
              <w:rPr>
                <w:rFonts w:hint="eastAsia" w:ascii="仿宋" w:hAnsi="仿宋" w:eastAsia="仿宋" w:cs="仿宋"/>
                <w:bCs/>
                <w:sz w:val="24"/>
                <w:szCs w:val="24"/>
              </w:rPr>
              <w:t>要求</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57D7CC5B">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kern w:val="0"/>
                <w:sz w:val="24"/>
                <w:szCs w:val="24"/>
              </w:rPr>
              <w:t>响应文件</w:t>
            </w:r>
            <w:r>
              <w:rPr>
                <w:rFonts w:hint="eastAsia" w:ascii="仿宋" w:hAnsi="仿宋" w:eastAsia="仿宋" w:cs="仿宋"/>
                <w:bCs/>
                <w:sz w:val="24"/>
                <w:szCs w:val="24"/>
              </w:rPr>
              <w:t>响应</w:t>
            </w:r>
          </w:p>
        </w:tc>
        <w:tc>
          <w:tcPr>
            <w:tcW w:w="1506" w:type="dxa"/>
            <w:vMerge w:val="restart"/>
            <w:tcBorders>
              <w:top w:val="single" w:color="auto" w:sz="4" w:space="0"/>
              <w:left w:val="single" w:color="auto" w:sz="4" w:space="0"/>
              <w:bottom w:val="single" w:color="auto" w:sz="4" w:space="0"/>
              <w:right w:val="single" w:color="auto" w:sz="4" w:space="0"/>
            </w:tcBorders>
            <w:vAlign w:val="center"/>
          </w:tcPr>
          <w:p w14:paraId="36DDF645">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偏差说明</w:t>
            </w:r>
          </w:p>
        </w:tc>
      </w:tr>
      <w:tr w14:paraId="3BDF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55251C7E">
            <w:pPr>
              <w:widowControl/>
              <w:jc w:val="left"/>
              <w:rPr>
                <w:rFonts w:hint="eastAsia" w:ascii="仿宋" w:hAnsi="仿宋" w:eastAsia="仿宋" w:cs="仿宋"/>
                <w:bCs/>
                <w:sz w:val="24"/>
                <w:szCs w:val="24"/>
              </w:rPr>
            </w:pPr>
          </w:p>
        </w:tc>
        <w:tc>
          <w:tcPr>
            <w:tcW w:w="1669" w:type="dxa"/>
            <w:tcBorders>
              <w:top w:val="single" w:color="auto" w:sz="4" w:space="0"/>
              <w:left w:val="single" w:color="auto" w:sz="4" w:space="0"/>
              <w:bottom w:val="single" w:color="auto" w:sz="4" w:space="0"/>
              <w:right w:val="single" w:color="auto" w:sz="4" w:space="0"/>
            </w:tcBorders>
            <w:vAlign w:val="center"/>
          </w:tcPr>
          <w:p w14:paraId="1BA57E83">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供货要求</w:t>
            </w:r>
          </w:p>
        </w:tc>
        <w:tc>
          <w:tcPr>
            <w:tcW w:w="977" w:type="dxa"/>
            <w:tcBorders>
              <w:top w:val="single" w:color="auto" w:sz="4" w:space="0"/>
              <w:left w:val="single" w:color="auto" w:sz="4" w:space="0"/>
              <w:bottom w:val="single" w:color="auto" w:sz="4" w:space="0"/>
              <w:right w:val="single" w:color="auto" w:sz="4" w:space="0"/>
            </w:tcBorders>
            <w:vAlign w:val="center"/>
          </w:tcPr>
          <w:p w14:paraId="6F0B357B">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章节及条款号</w:t>
            </w:r>
          </w:p>
        </w:tc>
        <w:tc>
          <w:tcPr>
            <w:tcW w:w="1150" w:type="dxa"/>
            <w:tcBorders>
              <w:top w:val="single" w:color="auto" w:sz="4" w:space="0"/>
              <w:left w:val="single" w:color="auto" w:sz="4" w:space="0"/>
              <w:bottom w:val="single" w:color="auto" w:sz="4" w:space="0"/>
              <w:right w:val="single" w:color="auto" w:sz="4" w:space="0"/>
            </w:tcBorders>
            <w:vAlign w:val="center"/>
          </w:tcPr>
          <w:p w14:paraId="13217091">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具体要求</w:t>
            </w:r>
          </w:p>
        </w:tc>
        <w:tc>
          <w:tcPr>
            <w:tcW w:w="992" w:type="dxa"/>
            <w:tcBorders>
              <w:top w:val="single" w:color="auto" w:sz="4" w:space="0"/>
              <w:left w:val="single" w:color="auto" w:sz="4" w:space="0"/>
              <w:bottom w:val="single" w:color="auto" w:sz="4" w:space="0"/>
              <w:right w:val="single" w:color="auto" w:sz="4" w:space="0"/>
            </w:tcBorders>
            <w:vAlign w:val="center"/>
          </w:tcPr>
          <w:p w14:paraId="4EFFF235">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章节及条款号</w:t>
            </w:r>
          </w:p>
        </w:tc>
        <w:tc>
          <w:tcPr>
            <w:tcW w:w="1418" w:type="dxa"/>
            <w:tcBorders>
              <w:top w:val="single" w:color="auto" w:sz="4" w:space="0"/>
              <w:left w:val="single" w:color="auto" w:sz="4" w:space="0"/>
              <w:bottom w:val="single" w:color="auto" w:sz="4" w:space="0"/>
              <w:right w:val="single" w:color="auto" w:sz="4" w:space="0"/>
            </w:tcBorders>
            <w:vAlign w:val="center"/>
          </w:tcPr>
          <w:p w14:paraId="16219F81">
            <w:pPr>
              <w:widowControl/>
              <w:snapToGrid w:val="0"/>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具体内容</w:t>
            </w:r>
          </w:p>
        </w:tc>
        <w:tc>
          <w:tcPr>
            <w:tcW w:w="1506" w:type="dxa"/>
            <w:vMerge w:val="continue"/>
            <w:tcBorders>
              <w:top w:val="single" w:color="auto" w:sz="4" w:space="0"/>
              <w:left w:val="single" w:color="auto" w:sz="4" w:space="0"/>
              <w:bottom w:val="single" w:color="auto" w:sz="4" w:space="0"/>
              <w:right w:val="single" w:color="auto" w:sz="4" w:space="0"/>
            </w:tcBorders>
            <w:vAlign w:val="center"/>
          </w:tcPr>
          <w:p w14:paraId="2A8DA68B">
            <w:pPr>
              <w:widowControl/>
              <w:jc w:val="left"/>
              <w:rPr>
                <w:rFonts w:hint="eastAsia" w:ascii="仿宋" w:hAnsi="仿宋" w:eastAsia="仿宋" w:cs="仿宋"/>
                <w:bCs/>
                <w:sz w:val="24"/>
                <w:szCs w:val="24"/>
              </w:rPr>
            </w:pPr>
          </w:p>
        </w:tc>
      </w:tr>
      <w:tr w14:paraId="6CA2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450E0525">
            <w:pPr>
              <w:spacing w:line="360" w:lineRule="auto"/>
              <w:rPr>
                <w:rFonts w:hint="eastAsia" w:ascii="仿宋" w:hAnsi="仿宋" w:eastAsia="仿宋" w:cs="仿宋"/>
                <w:bCs/>
                <w:sz w:val="24"/>
                <w:szCs w:val="24"/>
              </w:rPr>
            </w:pPr>
            <w:r>
              <w:rPr>
                <w:rFonts w:hint="eastAsia" w:ascii="仿宋" w:hAnsi="仿宋" w:eastAsia="仿宋" w:cs="仿宋"/>
                <w:bCs/>
                <w:sz w:val="24"/>
                <w:szCs w:val="24"/>
              </w:rPr>
              <w:t>1</w:t>
            </w:r>
          </w:p>
        </w:tc>
        <w:tc>
          <w:tcPr>
            <w:tcW w:w="1669" w:type="dxa"/>
            <w:vMerge w:val="restart"/>
            <w:tcBorders>
              <w:top w:val="single" w:color="auto" w:sz="4" w:space="0"/>
              <w:left w:val="single" w:color="auto" w:sz="4" w:space="0"/>
              <w:bottom w:val="single" w:color="auto" w:sz="4" w:space="0"/>
              <w:right w:val="single" w:color="auto" w:sz="4" w:space="0"/>
            </w:tcBorders>
            <w:vAlign w:val="center"/>
          </w:tcPr>
          <w:p w14:paraId="10BC4E4A">
            <w:pPr>
              <w:spacing w:line="360" w:lineRule="auto"/>
              <w:rPr>
                <w:rFonts w:hint="eastAsia" w:ascii="仿宋" w:hAnsi="仿宋" w:eastAsia="仿宋" w:cs="仿宋"/>
                <w:bCs/>
                <w:sz w:val="24"/>
                <w:szCs w:val="24"/>
              </w:rPr>
            </w:pPr>
            <w:r>
              <w:rPr>
                <w:rFonts w:hint="eastAsia" w:ascii="仿宋" w:hAnsi="仿宋" w:eastAsia="仿宋" w:cs="仿宋"/>
                <w:bCs/>
                <w:sz w:val="24"/>
                <w:szCs w:val="24"/>
              </w:rPr>
              <w:t>服务范围</w:t>
            </w:r>
          </w:p>
        </w:tc>
        <w:tc>
          <w:tcPr>
            <w:tcW w:w="977" w:type="dxa"/>
            <w:tcBorders>
              <w:top w:val="single" w:color="auto" w:sz="4" w:space="0"/>
              <w:left w:val="single" w:color="auto" w:sz="4" w:space="0"/>
              <w:bottom w:val="single" w:color="auto" w:sz="4" w:space="0"/>
              <w:right w:val="single" w:color="auto" w:sz="4" w:space="0"/>
            </w:tcBorders>
            <w:vAlign w:val="center"/>
          </w:tcPr>
          <w:p w14:paraId="092FC848">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3C4310E4">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3BD58C4">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A311BD7">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3D1A1D34">
            <w:pPr>
              <w:spacing w:line="360" w:lineRule="auto"/>
              <w:rPr>
                <w:rFonts w:hint="eastAsia" w:ascii="仿宋" w:hAnsi="仿宋" w:eastAsia="仿宋" w:cs="仿宋"/>
                <w:bCs/>
                <w:sz w:val="24"/>
                <w:szCs w:val="24"/>
              </w:rPr>
            </w:pPr>
          </w:p>
        </w:tc>
      </w:tr>
      <w:tr w14:paraId="2C2E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2DA8F0D3">
            <w:pPr>
              <w:widowControl/>
              <w:jc w:val="left"/>
              <w:rPr>
                <w:rFonts w:hint="eastAsia" w:ascii="仿宋" w:hAnsi="仿宋" w:eastAsia="仿宋" w:cs="仿宋"/>
                <w:bCs/>
                <w:sz w:val="24"/>
                <w:szCs w:val="24"/>
              </w:rPr>
            </w:pPr>
          </w:p>
        </w:tc>
        <w:tc>
          <w:tcPr>
            <w:tcW w:w="3796" w:type="dxa"/>
            <w:vMerge w:val="continue"/>
            <w:tcBorders>
              <w:top w:val="single" w:color="auto" w:sz="4" w:space="0"/>
              <w:left w:val="single" w:color="auto" w:sz="4" w:space="0"/>
              <w:bottom w:val="single" w:color="auto" w:sz="4" w:space="0"/>
              <w:right w:val="single" w:color="auto" w:sz="4" w:space="0"/>
            </w:tcBorders>
            <w:vAlign w:val="center"/>
          </w:tcPr>
          <w:p w14:paraId="76D6459B">
            <w:pPr>
              <w:widowControl/>
              <w:jc w:val="left"/>
              <w:rPr>
                <w:rFonts w:hint="eastAsia" w:ascii="仿宋" w:hAnsi="仿宋" w:eastAsia="仿宋" w:cs="仿宋"/>
                <w:bCs/>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35963BC0">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550AF6BE">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0558BC5">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2780DE9">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30D85234">
            <w:pPr>
              <w:spacing w:line="360" w:lineRule="auto"/>
              <w:rPr>
                <w:rFonts w:hint="eastAsia" w:ascii="仿宋" w:hAnsi="仿宋" w:eastAsia="仿宋" w:cs="仿宋"/>
                <w:bCs/>
                <w:sz w:val="24"/>
                <w:szCs w:val="24"/>
              </w:rPr>
            </w:pPr>
          </w:p>
        </w:tc>
      </w:tr>
      <w:tr w14:paraId="3B5F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4B87A12C">
            <w:pPr>
              <w:widowControl/>
              <w:jc w:val="left"/>
              <w:rPr>
                <w:rFonts w:hint="eastAsia" w:ascii="仿宋" w:hAnsi="仿宋" w:eastAsia="仿宋" w:cs="仿宋"/>
                <w:bCs/>
                <w:sz w:val="24"/>
                <w:szCs w:val="24"/>
              </w:rPr>
            </w:pPr>
          </w:p>
        </w:tc>
        <w:tc>
          <w:tcPr>
            <w:tcW w:w="3796" w:type="dxa"/>
            <w:vMerge w:val="continue"/>
            <w:tcBorders>
              <w:top w:val="single" w:color="auto" w:sz="4" w:space="0"/>
              <w:left w:val="single" w:color="auto" w:sz="4" w:space="0"/>
              <w:bottom w:val="single" w:color="auto" w:sz="4" w:space="0"/>
              <w:right w:val="single" w:color="auto" w:sz="4" w:space="0"/>
            </w:tcBorders>
            <w:vAlign w:val="center"/>
          </w:tcPr>
          <w:p w14:paraId="352BFB7F">
            <w:pPr>
              <w:widowControl/>
              <w:jc w:val="left"/>
              <w:rPr>
                <w:rFonts w:hint="eastAsia" w:ascii="仿宋" w:hAnsi="仿宋" w:eastAsia="仿宋" w:cs="仿宋"/>
                <w:bCs/>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041CB0B3">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23C738FE">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70C62DA">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0BC62B6">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54145CD5">
            <w:pPr>
              <w:spacing w:line="360" w:lineRule="auto"/>
              <w:rPr>
                <w:rFonts w:hint="eastAsia" w:ascii="仿宋" w:hAnsi="仿宋" w:eastAsia="仿宋" w:cs="仿宋"/>
                <w:bCs/>
                <w:sz w:val="24"/>
                <w:szCs w:val="24"/>
              </w:rPr>
            </w:pPr>
          </w:p>
        </w:tc>
      </w:tr>
      <w:tr w14:paraId="7C9B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exac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701A51D5">
            <w:pPr>
              <w:spacing w:line="360" w:lineRule="auto"/>
              <w:rPr>
                <w:rFonts w:hint="eastAsia" w:ascii="仿宋" w:hAnsi="仿宋" w:eastAsia="仿宋" w:cs="仿宋"/>
                <w:bCs/>
                <w:sz w:val="24"/>
                <w:szCs w:val="24"/>
              </w:rPr>
            </w:pPr>
            <w:r>
              <w:rPr>
                <w:rFonts w:hint="eastAsia" w:ascii="仿宋" w:hAnsi="仿宋" w:eastAsia="仿宋" w:cs="仿宋"/>
                <w:bCs/>
                <w:sz w:val="24"/>
                <w:szCs w:val="24"/>
              </w:rPr>
              <w:t>2</w:t>
            </w:r>
          </w:p>
        </w:tc>
        <w:tc>
          <w:tcPr>
            <w:tcW w:w="1669" w:type="dxa"/>
            <w:vMerge w:val="restart"/>
            <w:tcBorders>
              <w:top w:val="single" w:color="auto" w:sz="4" w:space="0"/>
              <w:left w:val="single" w:color="auto" w:sz="4" w:space="0"/>
              <w:bottom w:val="single" w:color="auto" w:sz="4" w:space="0"/>
              <w:right w:val="single" w:color="auto" w:sz="4" w:space="0"/>
            </w:tcBorders>
            <w:vAlign w:val="center"/>
          </w:tcPr>
          <w:p w14:paraId="4635EA82">
            <w:pPr>
              <w:spacing w:line="360" w:lineRule="auto"/>
              <w:rPr>
                <w:rFonts w:hint="eastAsia" w:ascii="仿宋" w:hAnsi="仿宋" w:eastAsia="仿宋" w:cs="仿宋"/>
                <w:bCs/>
                <w:sz w:val="24"/>
                <w:szCs w:val="24"/>
              </w:rPr>
            </w:pPr>
            <w:r>
              <w:rPr>
                <w:rFonts w:hint="eastAsia" w:ascii="仿宋" w:hAnsi="仿宋" w:eastAsia="仿宋" w:cs="仿宋"/>
                <w:bCs/>
                <w:sz w:val="24"/>
                <w:szCs w:val="24"/>
              </w:rPr>
              <w:t>……</w:t>
            </w:r>
          </w:p>
          <w:p w14:paraId="0E4D49D3">
            <w:pPr>
              <w:spacing w:line="360" w:lineRule="auto"/>
              <w:rPr>
                <w:rFonts w:hint="eastAsia" w:ascii="仿宋" w:hAnsi="仿宋" w:eastAsia="仿宋" w:cs="仿宋"/>
                <w:bCs/>
                <w:sz w:val="24"/>
                <w:szCs w:val="24"/>
              </w:rPr>
            </w:pPr>
            <w:r>
              <w:rPr>
                <w:rFonts w:hint="eastAsia" w:ascii="仿宋" w:hAnsi="仿宋" w:eastAsia="仿宋" w:cs="仿宋"/>
                <w:bCs/>
                <w:sz w:val="24"/>
                <w:szCs w:val="24"/>
              </w:rPr>
              <w:t>……</w:t>
            </w:r>
          </w:p>
          <w:p w14:paraId="3A4167D5">
            <w:pPr>
              <w:spacing w:line="360" w:lineRule="auto"/>
              <w:rPr>
                <w:rFonts w:hint="eastAsia" w:ascii="仿宋" w:hAnsi="仿宋" w:eastAsia="仿宋" w:cs="仿宋"/>
                <w:bCs/>
                <w:sz w:val="24"/>
                <w:szCs w:val="24"/>
              </w:rPr>
            </w:pPr>
            <w:r>
              <w:rPr>
                <w:rFonts w:hint="eastAsia" w:ascii="仿宋" w:hAnsi="仿宋" w:eastAsia="仿宋" w:cs="仿宋"/>
                <w:bCs/>
                <w:sz w:val="24"/>
                <w:szCs w:val="24"/>
              </w:rPr>
              <w:t>……</w:t>
            </w:r>
          </w:p>
        </w:tc>
        <w:tc>
          <w:tcPr>
            <w:tcW w:w="977" w:type="dxa"/>
            <w:tcBorders>
              <w:top w:val="single" w:color="auto" w:sz="4" w:space="0"/>
              <w:left w:val="single" w:color="auto" w:sz="4" w:space="0"/>
              <w:bottom w:val="single" w:color="auto" w:sz="4" w:space="0"/>
              <w:right w:val="single" w:color="auto" w:sz="4" w:space="0"/>
            </w:tcBorders>
            <w:vAlign w:val="center"/>
          </w:tcPr>
          <w:p w14:paraId="292FA2AA">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086781C4">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540344F">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AD4124A">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07F3C4A1">
            <w:pPr>
              <w:spacing w:line="360" w:lineRule="auto"/>
              <w:rPr>
                <w:rFonts w:hint="eastAsia" w:ascii="仿宋" w:hAnsi="仿宋" w:eastAsia="仿宋" w:cs="仿宋"/>
                <w:bCs/>
                <w:sz w:val="24"/>
                <w:szCs w:val="24"/>
              </w:rPr>
            </w:pPr>
          </w:p>
        </w:tc>
      </w:tr>
      <w:tr w14:paraId="3240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2EAA94A">
            <w:pPr>
              <w:widowControl/>
              <w:jc w:val="left"/>
              <w:rPr>
                <w:rFonts w:hint="eastAsia" w:ascii="仿宋" w:hAnsi="仿宋" w:eastAsia="仿宋" w:cs="仿宋"/>
                <w:bCs/>
                <w:sz w:val="24"/>
                <w:szCs w:val="24"/>
              </w:rPr>
            </w:pPr>
          </w:p>
        </w:tc>
        <w:tc>
          <w:tcPr>
            <w:tcW w:w="3796" w:type="dxa"/>
            <w:vMerge w:val="continue"/>
            <w:tcBorders>
              <w:top w:val="single" w:color="auto" w:sz="4" w:space="0"/>
              <w:left w:val="single" w:color="auto" w:sz="4" w:space="0"/>
              <w:bottom w:val="single" w:color="auto" w:sz="4" w:space="0"/>
              <w:right w:val="single" w:color="auto" w:sz="4" w:space="0"/>
            </w:tcBorders>
            <w:vAlign w:val="center"/>
          </w:tcPr>
          <w:p w14:paraId="5938224A">
            <w:pPr>
              <w:widowControl/>
              <w:jc w:val="left"/>
              <w:rPr>
                <w:rFonts w:hint="eastAsia" w:ascii="仿宋" w:hAnsi="仿宋" w:eastAsia="仿宋" w:cs="仿宋"/>
                <w:bCs/>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6D0E7380">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5F194228">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292FD2E">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A4A0A8F">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2375D4B2">
            <w:pPr>
              <w:spacing w:line="360" w:lineRule="auto"/>
              <w:rPr>
                <w:rFonts w:hint="eastAsia" w:ascii="仿宋" w:hAnsi="仿宋" w:eastAsia="仿宋" w:cs="仿宋"/>
                <w:bCs/>
                <w:sz w:val="24"/>
                <w:szCs w:val="24"/>
              </w:rPr>
            </w:pPr>
          </w:p>
        </w:tc>
      </w:tr>
      <w:tr w14:paraId="535A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18529386">
            <w:pPr>
              <w:widowControl/>
              <w:jc w:val="left"/>
              <w:rPr>
                <w:rFonts w:hint="eastAsia" w:ascii="仿宋" w:hAnsi="仿宋" w:eastAsia="仿宋" w:cs="仿宋"/>
                <w:bCs/>
                <w:sz w:val="24"/>
                <w:szCs w:val="24"/>
              </w:rPr>
            </w:pPr>
          </w:p>
        </w:tc>
        <w:tc>
          <w:tcPr>
            <w:tcW w:w="3796" w:type="dxa"/>
            <w:vMerge w:val="continue"/>
            <w:tcBorders>
              <w:top w:val="single" w:color="auto" w:sz="4" w:space="0"/>
              <w:left w:val="single" w:color="auto" w:sz="4" w:space="0"/>
              <w:bottom w:val="single" w:color="auto" w:sz="4" w:space="0"/>
              <w:right w:val="single" w:color="auto" w:sz="4" w:space="0"/>
            </w:tcBorders>
            <w:vAlign w:val="center"/>
          </w:tcPr>
          <w:p w14:paraId="53494F7C">
            <w:pPr>
              <w:widowControl/>
              <w:jc w:val="left"/>
              <w:rPr>
                <w:rFonts w:hint="eastAsia" w:ascii="仿宋" w:hAnsi="仿宋" w:eastAsia="仿宋" w:cs="仿宋"/>
                <w:bCs/>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0269F967">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4D89F945">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800D58F">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2470A6C">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78856CD3">
            <w:pPr>
              <w:spacing w:line="360" w:lineRule="auto"/>
              <w:rPr>
                <w:rFonts w:hint="eastAsia" w:ascii="仿宋" w:hAnsi="仿宋" w:eastAsia="仿宋" w:cs="仿宋"/>
                <w:bCs/>
                <w:sz w:val="24"/>
                <w:szCs w:val="24"/>
              </w:rPr>
            </w:pPr>
          </w:p>
        </w:tc>
      </w:tr>
      <w:tr w14:paraId="1B5A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493BEAC6">
            <w:pPr>
              <w:spacing w:line="360" w:lineRule="auto"/>
              <w:rPr>
                <w:rFonts w:hint="eastAsia" w:ascii="仿宋" w:hAnsi="仿宋" w:eastAsia="仿宋" w:cs="仿宋"/>
                <w:bCs/>
                <w:sz w:val="24"/>
                <w:szCs w:val="24"/>
              </w:rPr>
            </w:pPr>
            <w:r>
              <w:rPr>
                <w:rFonts w:hint="eastAsia" w:ascii="仿宋" w:hAnsi="仿宋" w:eastAsia="仿宋" w:cs="仿宋"/>
                <w:bCs/>
                <w:sz w:val="24"/>
                <w:szCs w:val="24"/>
              </w:rPr>
              <w:t>3</w:t>
            </w:r>
          </w:p>
        </w:tc>
        <w:tc>
          <w:tcPr>
            <w:tcW w:w="1669" w:type="dxa"/>
            <w:vMerge w:val="restart"/>
            <w:tcBorders>
              <w:top w:val="single" w:color="auto" w:sz="4" w:space="0"/>
              <w:left w:val="single" w:color="auto" w:sz="4" w:space="0"/>
              <w:bottom w:val="single" w:color="auto" w:sz="4" w:space="0"/>
              <w:right w:val="single" w:color="auto" w:sz="4" w:space="0"/>
            </w:tcBorders>
            <w:vAlign w:val="center"/>
          </w:tcPr>
          <w:p w14:paraId="5DDAC842">
            <w:pPr>
              <w:spacing w:line="360" w:lineRule="auto"/>
              <w:rPr>
                <w:rFonts w:hint="eastAsia" w:ascii="仿宋" w:hAnsi="仿宋" w:eastAsia="仿宋" w:cs="仿宋"/>
                <w:bCs/>
                <w:sz w:val="24"/>
                <w:szCs w:val="24"/>
              </w:rPr>
            </w:pPr>
            <w:r>
              <w:rPr>
                <w:rFonts w:hint="eastAsia" w:ascii="仿宋" w:hAnsi="仿宋" w:eastAsia="仿宋" w:cs="仿宋"/>
                <w:bCs/>
                <w:sz w:val="24"/>
                <w:szCs w:val="24"/>
              </w:rPr>
              <w:t>……</w:t>
            </w:r>
          </w:p>
          <w:p w14:paraId="5DBD2DB6">
            <w:pPr>
              <w:spacing w:line="360" w:lineRule="auto"/>
              <w:rPr>
                <w:rFonts w:hint="eastAsia" w:ascii="仿宋" w:hAnsi="仿宋" w:eastAsia="仿宋" w:cs="仿宋"/>
                <w:bCs/>
                <w:sz w:val="24"/>
                <w:szCs w:val="24"/>
              </w:rPr>
            </w:pPr>
            <w:r>
              <w:rPr>
                <w:rFonts w:hint="eastAsia" w:ascii="仿宋" w:hAnsi="仿宋" w:eastAsia="仿宋" w:cs="仿宋"/>
                <w:bCs/>
                <w:sz w:val="24"/>
                <w:szCs w:val="24"/>
              </w:rPr>
              <w:t>……</w:t>
            </w:r>
          </w:p>
          <w:p w14:paraId="5ED9AFD0">
            <w:pPr>
              <w:spacing w:line="360" w:lineRule="auto"/>
              <w:rPr>
                <w:rFonts w:hint="eastAsia" w:ascii="仿宋" w:hAnsi="仿宋" w:eastAsia="仿宋" w:cs="仿宋"/>
                <w:bCs/>
                <w:sz w:val="24"/>
                <w:szCs w:val="24"/>
              </w:rPr>
            </w:pPr>
            <w:r>
              <w:rPr>
                <w:rFonts w:hint="eastAsia" w:ascii="仿宋" w:hAnsi="仿宋" w:eastAsia="仿宋" w:cs="仿宋"/>
                <w:bCs/>
                <w:sz w:val="24"/>
                <w:szCs w:val="24"/>
              </w:rPr>
              <w:t>……</w:t>
            </w:r>
          </w:p>
        </w:tc>
        <w:tc>
          <w:tcPr>
            <w:tcW w:w="977" w:type="dxa"/>
            <w:tcBorders>
              <w:top w:val="single" w:color="auto" w:sz="4" w:space="0"/>
              <w:left w:val="single" w:color="auto" w:sz="4" w:space="0"/>
              <w:bottom w:val="single" w:color="auto" w:sz="4" w:space="0"/>
              <w:right w:val="single" w:color="auto" w:sz="4" w:space="0"/>
            </w:tcBorders>
            <w:vAlign w:val="center"/>
          </w:tcPr>
          <w:p w14:paraId="05913491">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2B205BDC">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E05E533">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98DE5B1">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01E07FAD">
            <w:pPr>
              <w:spacing w:line="360" w:lineRule="auto"/>
              <w:rPr>
                <w:rFonts w:hint="eastAsia" w:ascii="仿宋" w:hAnsi="仿宋" w:eastAsia="仿宋" w:cs="仿宋"/>
                <w:bCs/>
                <w:sz w:val="24"/>
                <w:szCs w:val="24"/>
              </w:rPr>
            </w:pPr>
          </w:p>
        </w:tc>
      </w:tr>
      <w:tr w14:paraId="556D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0283B99">
            <w:pPr>
              <w:widowControl/>
              <w:jc w:val="left"/>
              <w:rPr>
                <w:rFonts w:hint="eastAsia" w:ascii="仿宋" w:hAnsi="仿宋" w:eastAsia="仿宋" w:cs="仿宋"/>
                <w:bCs/>
                <w:sz w:val="24"/>
                <w:szCs w:val="24"/>
              </w:rPr>
            </w:pPr>
          </w:p>
        </w:tc>
        <w:tc>
          <w:tcPr>
            <w:tcW w:w="3796" w:type="dxa"/>
            <w:vMerge w:val="continue"/>
            <w:tcBorders>
              <w:top w:val="single" w:color="auto" w:sz="4" w:space="0"/>
              <w:left w:val="single" w:color="auto" w:sz="4" w:space="0"/>
              <w:bottom w:val="single" w:color="auto" w:sz="4" w:space="0"/>
              <w:right w:val="single" w:color="auto" w:sz="4" w:space="0"/>
            </w:tcBorders>
            <w:vAlign w:val="center"/>
          </w:tcPr>
          <w:p w14:paraId="7F432227">
            <w:pPr>
              <w:widowControl/>
              <w:jc w:val="left"/>
              <w:rPr>
                <w:rFonts w:hint="eastAsia" w:ascii="仿宋" w:hAnsi="仿宋" w:eastAsia="仿宋" w:cs="仿宋"/>
                <w:bCs/>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228221BC">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7CA15624">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CDE51C8">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F2555CF">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40531B39">
            <w:pPr>
              <w:spacing w:line="360" w:lineRule="auto"/>
              <w:rPr>
                <w:rFonts w:hint="eastAsia" w:ascii="仿宋" w:hAnsi="仿宋" w:eastAsia="仿宋" w:cs="仿宋"/>
                <w:bCs/>
                <w:sz w:val="24"/>
                <w:szCs w:val="24"/>
              </w:rPr>
            </w:pPr>
          </w:p>
        </w:tc>
      </w:tr>
      <w:tr w14:paraId="0A3E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53F6AF8E">
            <w:pPr>
              <w:widowControl/>
              <w:jc w:val="left"/>
              <w:rPr>
                <w:rFonts w:hint="eastAsia" w:ascii="仿宋" w:hAnsi="仿宋" w:eastAsia="仿宋" w:cs="仿宋"/>
                <w:bCs/>
                <w:sz w:val="24"/>
                <w:szCs w:val="24"/>
              </w:rPr>
            </w:pPr>
          </w:p>
        </w:tc>
        <w:tc>
          <w:tcPr>
            <w:tcW w:w="3796" w:type="dxa"/>
            <w:vMerge w:val="continue"/>
            <w:tcBorders>
              <w:top w:val="single" w:color="auto" w:sz="4" w:space="0"/>
              <w:left w:val="single" w:color="auto" w:sz="4" w:space="0"/>
              <w:bottom w:val="single" w:color="auto" w:sz="4" w:space="0"/>
              <w:right w:val="single" w:color="auto" w:sz="4" w:space="0"/>
            </w:tcBorders>
            <w:vAlign w:val="center"/>
          </w:tcPr>
          <w:p w14:paraId="4B06508B">
            <w:pPr>
              <w:widowControl/>
              <w:jc w:val="left"/>
              <w:rPr>
                <w:rFonts w:hint="eastAsia" w:ascii="仿宋" w:hAnsi="仿宋" w:eastAsia="仿宋" w:cs="仿宋"/>
                <w:bCs/>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7A06F008">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591F6638">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618D10A">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DD14E9A">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063FCD5C">
            <w:pPr>
              <w:spacing w:line="360" w:lineRule="auto"/>
              <w:rPr>
                <w:rFonts w:hint="eastAsia" w:ascii="仿宋" w:hAnsi="仿宋" w:eastAsia="仿宋" w:cs="仿宋"/>
                <w:bCs/>
                <w:sz w:val="24"/>
                <w:szCs w:val="24"/>
              </w:rPr>
            </w:pPr>
          </w:p>
        </w:tc>
      </w:tr>
      <w:tr w14:paraId="08D9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06B0423B">
            <w:pPr>
              <w:spacing w:line="360" w:lineRule="auto"/>
              <w:rPr>
                <w:rFonts w:hint="eastAsia" w:ascii="仿宋" w:hAnsi="仿宋" w:eastAsia="仿宋" w:cs="仿宋"/>
                <w:bCs/>
                <w:sz w:val="24"/>
                <w:szCs w:val="24"/>
              </w:rPr>
            </w:pPr>
            <w:r>
              <w:rPr>
                <w:rFonts w:hint="eastAsia" w:ascii="仿宋" w:hAnsi="仿宋" w:eastAsia="仿宋" w:cs="仿宋"/>
                <w:bCs/>
                <w:sz w:val="24"/>
                <w:szCs w:val="24"/>
              </w:rPr>
              <w:t>4</w:t>
            </w:r>
          </w:p>
        </w:tc>
        <w:tc>
          <w:tcPr>
            <w:tcW w:w="1669" w:type="dxa"/>
            <w:vMerge w:val="restart"/>
            <w:tcBorders>
              <w:top w:val="single" w:color="auto" w:sz="4" w:space="0"/>
              <w:left w:val="single" w:color="auto" w:sz="4" w:space="0"/>
              <w:bottom w:val="single" w:color="auto" w:sz="4" w:space="0"/>
              <w:right w:val="single" w:color="auto" w:sz="4" w:space="0"/>
            </w:tcBorders>
            <w:vAlign w:val="center"/>
          </w:tcPr>
          <w:p w14:paraId="6E71EC97">
            <w:pPr>
              <w:spacing w:line="360" w:lineRule="auto"/>
              <w:rPr>
                <w:rFonts w:hint="eastAsia" w:ascii="仿宋" w:hAnsi="仿宋" w:eastAsia="仿宋" w:cs="仿宋"/>
                <w:bCs/>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71CCE570">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7F66A5F1">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3FBFF76">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6E706AFE">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07017A14">
            <w:pPr>
              <w:spacing w:line="360" w:lineRule="auto"/>
              <w:rPr>
                <w:rFonts w:hint="eastAsia" w:ascii="仿宋" w:hAnsi="仿宋" w:eastAsia="仿宋" w:cs="仿宋"/>
                <w:bCs/>
                <w:sz w:val="24"/>
                <w:szCs w:val="24"/>
              </w:rPr>
            </w:pPr>
          </w:p>
        </w:tc>
      </w:tr>
      <w:tr w14:paraId="6674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44191927">
            <w:pPr>
              <w:widowControl/>
              <w:jc w:val="left"/>
              <w:rPr>
                <w:rFonts w:hint="eastAsia" w:ascii="仿宋" w:hAnsi="仿宋" w:eastAsia="仿宋" w:cs="仿宋"/>
                <w:bCs/>
                <w:sz w:val="24"/>
                <w:szCs w:val="24"/>
              </w:rPr>
            </w:pPr>
          </w:p>
        </w:tc>
        <w:tc>
          <w:tcPr>
            <w:tcW w:w="3796" w:type="dxa"/>
            <w:vMerge w:val="continue"/>
            <w:tcBorders>
              <w:top w:val="single" w:color="auto" w:sz="4" w:space="0"/>
              <w:left w:val="single" w:color="auto" w:sz="4" w:space="0"/>
              <w:bottom w:val="single" w:color="auto" w:sz="4" w:space="0"/>
              <w:right w:val="single" w:color="auto" w:sz="4" w:space="0"/>
            </w:tcBorders>
            <w:vAlign w:val="center"/>
          </w:tcPr>
          <w:p w14:paraId="35475132">
            <w:pPr>
              <w:widowControl/>
              <w:jc w:val="left"/>
              <w:rPr>
                <w:rFonts w:hint="eastAsia" w:ascii="仿宋" w:hAnsi="仿宋" w:eastAsia="仿宋" w:cs="仿宋"/>
                <w:bCs/>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73A847E0">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096BAFA6">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2534785">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48EC80A">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1BD39CB4">
            <w:pPr>
              <w:spacing w:line="360" w:lineRule="auto"/>
              <w:rPr>
                <w:rFonts w:hint="eastAsia" w:ascii="仿宋" w:hAnsi="仿宋" w:eastAsia="仿宋" w:cs="仿宋"/>
                <w:bCs/>
                <w:sz w:val="24"/>
                <w:szCs w:val="24"/>
              </w:rPr>
            </w:pPr>
          </w:p>
        </w:tc>
      </w:tr>
      <w:tr w14:paraId="340B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1D6D9DA0">
            <w:pPr>
              <w:widowControl/>
              <w:jc w:val="left"/>
              <w:rPr>
                <w:rFonts w:hint="eastAsia" w:ascii="仿宋" w:hAnsi="仿宋" w:eastAsia="仿宋" w:cs="仿宋"/>
                <w:bCs/>
                <w:sz w:val="24"/>
                <w:szCs w:val="24"/>
              </w:rPr>
            </w:pPr>
          </w:p>
        </w:tc>
        <w:tc>
          <w:tcPr>
            <w:tcW w:w="3796" w:type="dxa"/>
            <w:vMerge w:val="continue"/>
            <w:tcBorders>
              <w:top w:val="single" w:color="auto" w:sz="4" w:space="0"/>
              <w:left w:val="single" w:color="auto" w:sz="4" w:space="0"/>
              <w:bottom w:val="single" w:color="auto" w:sz="4" w:space="0"/>
              <w:right w:val="single" w:color="auto" w:sz="4" w:space="0"/>
            </w:tcBorders>
            <w:vAlign w:val="center"/>
          </w:tcPr>
          <w:p w14:paraId="7762201C">
            <w:pPr>
              <w:widowControl/>
              <w:jc w:val="left"/>
              <w:rPr>
                <w:rFonts w:hint="eastAsia" w:ascii="仿宋" w:hAnsi="仿宋" w:eastAsia="仿宋" w:cs="仿宋"/>
                <w:bCs/>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21932AD9">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7DDC7B8A">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FFD37E2">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0811646">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6D82B979">
            <w:pPr>
              <w:spacing w:line="360" w:lineRule="auto"/>
              <w:rPr>
                <w:rFonts w:hint="eastAsia" w:ascii="仿宋" w:hAnsi="仿宋" w:eastAsia="仿宋" w:cs="仿宋"/>
                <w:bCs/>
                <w:sz w:val="24"/>
                <w:szCs w:val="24"/>
              </w:rPr>
            </w:pPr>
          </w:p>
        </w:tc>
      </w:tr>
      <w:tr w14:paraId="3B14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exac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7B4F3E27">
            <w:pPr>
              <w:spacing w:line="360" w:lineRule="auto"/>
              <w:rPr>
                <w:rFonts w:hint="eastAsia" w:ascii="仿宋" w:hAnsi="仿宋" w:eastAsia="仿宋" w:cs="仿宋"/>
                <w:bCs/>
                <w:sz w:val="24"/>
                <w:szCs w:val="24"/>
              </w:rPr>
            </w:pPr>
            <w:r>
              <w:rPr>
                <w:rFonts w:hint="eastAsia" w:ascii="仿宋" w:hAnsi="仿宋" w:eastAsia="仿宋" w:cs="仿宋"/>
                <w:bCs/>
                <w:sz w:val="24"/>
                <w:szCs w:val="24"/>
              </w:rPr>
              <w:t>……</w:t>
            </w:r>
          </w:p>
        </w:tc>
        <w:tc>
          <w:tcPr>
            <w:tcW w:w="1669" w:type="dxa"/>
            <w:vMerge w:val="restart"/>
            <w:tcBorders>
              <w:top w:val="single" w:color="auto" w:sz="4" w:space="0"/>
              <w:left w:val="single" w:color="auto" w:sz="4" w:space="0"/>
              <w:bottom w:val="single" w:color="auto" w:sz="4" w:space="0"/>
              <w:right w:val="single" w:color="auto" w:sz="4" w:space="0"/>
            </w:tcBorders>
            <w:vAlign w:val="center"/>
          </w:tcPr>
          <w:p w14:paraId="317A404B">
            <w:pPr>
              <w:spacing w:line="360" w:lineRule="auto"/>
              <w:rPr>
                <w:rFonts w:hint="eastAsia" w:ascii="仿宋" w:hAnsi="仿宋" w:eastAsia="仿宋" w:cs="仿宋"/>
                <w:bCs/>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283A13A6">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0930FFAF">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BF7C92A">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2979F6E">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048A8D94">
            <w:pPr>
              <w:spacing w:line="360" w:lineRule="auto"/>
              <w:rPr>
                <w:rFonts w:hint="eastAsia" w:ascii="仿宋" w:hAnsi="仿宋" w:eastAsia="仿宋" w:cs="仿宋"/>
                <w:bCs/>
                <w:sz w:val="24"/>
                <w:szCs w:val="24"/>
              </w:rPr>
            </w:pPr>
          </w:p>
        </w:tc>
      </w:tr>
      <w:tr w14:paraId="6124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22246A95">
            <w:pPr>
              <w:widowControl/>
              <w:jc w:val="left"/>
              <w:rPr>
                <w:rFonts w:hint="eastAsia" w:ascii="仿宋" w:hAnsi="仿宋" w:eastAsia="仿宋" w:cs="仿宋"/>
                <w:bCs/>
                <w:sz w:val="24"/>
                <w:szCs w:val="24"/>
              </w:rPr>
            </w:pPr>
          </w:p>
        </w:tc>
        <w:tc>
          <w:tcPr>
            <w:tcW w:w="3796" w:type="dxa"/>
            <w:vMerge w:val="continue"/>
            <w:tcBorders>
              <w:top w:val="single" w:color="auto" w:sz="4" w:space="0"/>
              <w:left w:val="single" w:color="auto" w:sz="4" w:space="0"/>
              <w:bottom w:val="single" w:color="auto" w:sz="4" w:space="0"/>
              <w:right w:val="single" w:color="auto" w:sz="4" w:space="0"/>
            </w:tcBorders>
            <w:vAlign w:val="center"/>
          </w:tcPr>
          <w:p w14:paraId="4070801C">
            <w:pPr>
              <w:widowControl/>
              <w:jc w:val="left"/>
              <w:rPr>
                <w:rFonts w:hint="eastAsia" w:ascii="仿宋" w:hAnsi="仿宋" w:eastAsia="仿宋" w:cs="仿宋"/>
                <w:bCs/>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71BF906C">
            <w:pPr>
              <w:spacing w:line="360" w:lineRule="auto"/>
              <w:rPr>
                <w:rFonts w:hint="eastAsia" w:ascii="仿宋" w:hAnsi="仿宋" w:eastAsia="仿宋" w:cs="仿宋"/>
                <w:bCs/>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32F6F1D0">
            <w:pPr>
              <w:spacing w:line="360" w:lineRule="auto"/>
              <w:rPr>
                <w:rFonts w:hint="eastAsia" w:ascii="仿宋" w:hAnsi="仿宋" w:eastAsia="仿宋" w:cs="仿宋"/>
                <w:bCs/>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623FD85">
            <w:pPr>
              <w:spacing w:line="360" w:lineRule="auto"/>
              <w:rPr>
                <w:rFonts w:hint="eastAsia" w:ascii="仿宋" w:hAnsi="仿宋" w:eastAsia="仿宋" w:cs="仿宋"/>
                <w:bCs/>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D78A572">
            <w:pPr>
              <w:spacing w:line="360" w:lineRule="auto"/>
              <w:rPr>
                <w:rFonts w:hint="eastAsia" w:ascii="仿宋" w:hAnsi="仿宋" w:eastAsia="仿宋" w:cs="仿宋"/>
                <w:bCs/>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1CC8BEF0">
            <w:pPr>
              <w:spacing w:line="360" w:lineRule="auto"/>
              <w:rPr>
                <w:rFonts w:hint="eastAsia" w:ascii="仿宋" w:hAnsi="仿宋" w:eastAsia="仿宋" w:cs="仿宋"/>
                <w:bCs/>
                <w:sz w:val="24"/>
                <w:szCs w:val="24"/>
              </w:rPr>
            </w:pPr>
          </w:p>
        </w:tc>
      </w:tr>
    </w:tbl>
    <w:p w14:paraId="064C2AD5">
      <w:pPr>
        <w:spacing w:line="360" w:lineRule="auto"/>
        <w:rPr>
          <w:rFonts w:hint="eastAsia" w:ascii="仿宋" w:hAnsi="仿宋" w:eastAsia="仿宋" w:cs="仿宋"/>
        </w:rPr>
      </w:pPr>
    </w:p>
    <w:p w14:paraId="4BCFB1CA">
      <w:pPr>
        <w:spacing w:line="360" w:lineRule="auto"/>
        <w:rPr>
          <w:rFonts w:hint="eastAsia" w:ascii="仿宋" w:hAnsi="仿宋" w:eastAsia="仿宋" w:cs="仿宋"/>
          <w:sz w:val="24"/>
          <w:szCs w:val="24"/>
        </w:rPr>
      </w:pPr>
      <w:r>
        <w:rPr>
          <w:rFonts w:hint="eastAsia" w:ascii="仿宋" w:hAnsi="仿宋" w:eastAsia="仿宋" w:cs="仿宋"/>
          <w:sz w:val="24"/>
          <w:szCs w:val="24"/>
        </w:rPr>
        <w:t>供应商保证：除技术条款偏差表列出的偏差外，供应商响应采购文件的全部要求。</w:t>
      </w:r>
    </w:p>
    <w:p w14:paraId="2C938759">
      <w:pPr>
        <w:rPr>
          <w:rFonts w:hint="eastAsia" w:ascii="仿宋" w:hAnsi="仿宋" w:eastAsia="仿宋" w:cs="仿宋"/>
        </w:rPr>
      </w:pPr>
    </w:p>
    <w:p w14:paraId="782731C2">
      <w:pPr>
        <w:spacing w:line="360" w:lineRule="auto"/>
        <w:rPr>
          <w:rFonts w:hint="eastAsia" w:ascii="仿宋" w:hAnsi="仿宋" w:eastAsia="仿宋" w:cs="仿宋"/>
          <w:sz w:val="24"/>
          <w:szCs w:val="24"/>
        </w:rPr>
      </w:pPr>
    </w:p>
    <w:p w14:paraId="3A36BB90">
      <w:pPr>
        <w:rPr>
          <w:rFonts w:hint="eastAsia" w:ascii="仿宋" w:hAnsi="仿宋" w:eastAsia="仿宋" w:cs="仿宋"/>
        </w:rPr>
      </w:pPr>
      <w:r>
        <w:rPr>
          <w:rFonts w:hint="eastAsia" w:ascii="仿宋" w:hAnsi="仿宋" w:eastAsia="仿宋" w:cs="仿宋"/>
        </w:rPr>
        <w:br w:type="page"/>
      </w:r>
    </w:p>
    <w:p w14:paraId="11D9459D">
      <w:pPr>
        <w:pStyle w:val="56"/>
        <w:rPr>
          <w:rFonts w:hint="eastAsia" w:ascii="仿宋" w:hAnsi="仿宋" w:eastAsia="仿宋" w:cs="仿宋"/>
        </w:rPr>
        <w:sectPr>
          <w:pgSz w:w="12240" w:h="15840"/>
          <w:pgMar w:top="1440" w:right="1800" w:bottom="1440" w:left="1800" w:header="720" w:footer="720" w:gutter="0"/>
          <w:cols w:space="720" w:num="1"/>
          <w:docGrid w:linePitch="285" w:charSpace="0"/>
        </w:sectPr>
      </w:pPr>
      <w:bookmarkStart w:id="468" w:name="_Toc152042558"/>
      <w:bookmarkStart w:id="469" w:name="_Toc152045776"/>
      <w:bookmarkStart w:id="470" w:name="_Toc144974837"/>
      <w:bookmarkStart w:id="471" w:name="_Toc179632793"/>
      <w:bookmarkStart w:id="472" w:name="_Toc485218079"/>
      <w:bookmarkStart w:id="473" w:name="_Toc501460792"/>
      <w:bookmarkStart w:id="474" w:name="_Toc152045775"/>
      <w:bookmarkStart w:id="475" w:name="_Toc144974838"/>
      <w:bookmarkStart w:id="476" w:name="_Toc152042557"/>
      <w:bookmarkStart w:id="477" w:name="_Toc361508760"/>
    </w:p>
    <w:bookmarkEnd w:id="468"/>
    <w:bookmarkEnd w:id="469"/>
    <w:bookmarkEnd w:id="470"/>
    <w:bookmarkEnd w:id="471"/>
    <w:bookmarkEnd w:id="472"/>
    <w:bookmarkEnd w:id="473"/>
    <w:bookmarkEnd w:id="474"/>
    <w:bookmarkEnd w:id="475"/>
    <w:bookmarkEnd w:id="476"/>
    <w:p w14:paraId="23A7AE57">
      <w:pPr>
        <w:pStyle w:val="3"/>
        <w:jc w:val="center"/>
        <w:rPr>
          <w:rFonts w:hint="eastAsia" w:ascii="仿宋" w:hAnsi="仿宋" w:eastAsia="仿宋" w:cs="仿宋"/>
        </w:rPr>
      </w:pPr>
      <w:bookmarkStart w:id="478" w:name="_Toc14716"/>
      <w:bookmarkStart w:id="479" w:name="_Toc501460793"/>
      <w:r>
        <w:rPr>
          <w:rFonts w:hint="eastAsia" w:ascii="仿宋" w:hAnsi="仿宋" w:eastAsia="仿宋" w:cs="仿宋"/>
          <w:highlight w:val="yellow"/>
        </w:rPr>
        <w:t>六、报价表</w:t>
      </w:r>
      <w:bookmarkEnd w:id="478"/>
    </w:p>
    <w:p w14:paraId="2947A8DB">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报价内容：维修材料费（保留两位小数）</w:t>
      </w:r>
    </w:p>
    <w:p w14:paraId="012CF6D0">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备注：</w:t>
      </w:r>
    </w:p>
    <w:p w14:paraId="3505486E">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表中所列维修工时费、维修材料费，最终按实际发生结算。所报价格包含了完成车辆维修、交付使用的全部费用，包括但不限于：人工费及所需附件购置费、包装费、运输费、保险费、安装调试费、各种税费、资料费、售后服务费等应有的全部费用。如有漏项或缺项，供应商承担全部责任。</w:t>
      </w:r>
    </w:p>
    <w:p w14:paraId="26B866A6">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为便于后期结算，供应商自行考虑车辆在后期维修中可能需要使用的配件及名称，且自主报价。如一年内维修结算金额达到或超出响应报价，按响应报价结算。如达不到响应报价金额，按维修材料目录报价结合执行标准据实结算。</w:t>
      </w:r>
    </w:p>
    <w:p w14:paraId="3E38A7BD">
      <w:pPr>
        <w:rPr>
          <w:rFonts w:hint="eastAsia" w:ascii="宋体" w:hAnsi="宋体" w:cs="Arial"/>
        </w:rPr>
      </w:pPr>
    </w:p>
    <w:p w14:paraId="73EE77C8">
      <w:pPr>
        <w:spacing w:line="360" w:lineRule="auto"/>
        <w:ind w:firstLine="480" w:firstLineChars="200"/>
        <w:jc w:val="right"/>
        <w:rPr>
          <w:rFonts w:ascii="Times New Roman" w:hAnsi="Times New Roman" w:eastAsia="仿宋"/>
          <w:sz w:val="24"/>
          <w:szCs w:val="24"/>
        </w:rPr>
      </w:pPr>
      <w:r>
        <w:rPr>
          <w:rFonts w:hint="eastAsia" w:ascii="Times New Roman" w:hAnsi="Times New Roman" w:eastAsia="仿宋"/>
          <w:sz w:val="24"/>
          <w:szCs w:val="24"/>
        </w:rPr>
        <w:t>供应商：</w:t>
      </w:r>
      <w:r>
        <w:rPr>
          <w:rFonts w:hint="eastAsia" w:ascii="Times New Roman" w:hAnsi="Times New Roman" w:eastAsia="仿宋"/>
          <w:sz w:val="24"/>
          <w:szCs w:val="24"/>
          <w:u w:val="single"/>
        </w:rPr>
        <w:t xml:space="preserve">            </w:t>
      </w:r>
      <w:r>
        <w:rPr>
          <w:rFonts w:hint="eastAsia" w:ascii="Times New Roman" w:hAnsi="Times New Roman" w:eastAsia="仿宋"/>
          <w:sz w:val="24"/>
          <w:szCs w:val="24"/>
        </w:rPr>
        <w:t>（盖单位章）</w:t>
      </w:r>
    </w:p>
    <w:p w14:paraId="1EEF6BF0">
      <w:pPr>
        <w:widowControl/>
        <w:ind w:right="105" w:firstLine="4800" w:firstLineChars="2000"/>
        <w:jc w:val="left"/>
        <w:rPr>
          <w:rFonts w:ascii="Times New Roman" w:hAnsi="Times New Roman"/>
          <w:kern w:val="0"/>
        </w:rPr>
      </w:pPr>
      <w:r>
        <w:rPr>
          <w:rFonts w:hint="eastAsia" w:ascii="Times New Roman" w:hAnsi="Times New Roman" w:eastAsia="仿宋"/>
          <w:sz w:val="24"/>
          <w:szCs w:val="24"/>
        </w:rPr>
        <w:t xml:space="preserve">日  期： </w:t>
      </w:r>
      <w:r>
        <w:rPr>
          <w:rFonts w:hint="eastAsia" w:ascii="Times New Roman" w:hAnsi="Times New Roman" w:eastAsia="仿宋"/>
          <w:sz w:val="24"/>
          <w:szCs w:val="24"/>
          <w:u w:val="single"/>
        </w:rPr>
        <w:t xml:space="preserve">      </w:t>
      </w:r>
      <w:r>
        <w:rPr>
          <w:rFonts w:hint="eastAsia" w:ascii="Times New Roman" w:hAnsi="Times New Roman" w:eastAsia="仿宋"/>
          <w:sz w:val="24"/>
          <w:szCs w:val="24"/>
        </w:rPr>
        <w:t>年</w:t>
      </w:r>
      <w:r>
        <w:rPr>
          <w:rFonts w:hint="eastAsia" w:ascii="Times New Roman" w:hAnsi="Times New Roman" w:eastAsia="仿宋"/>
          <w:sz w:val="24"/>
          <w:szCs w:val="24"/>
          <w:u w:val="single"/>
        </w:rPr>
        <w:t xml:space="preserve">     </w:t>
      </w:r>
      <w:r>
        <w:rPr>
          <w:rFonts w:hint="eastAsia" w:ascii="Times New Roman" w:hAnsi="Times New Roman" w:eastAsia="仿宋"/>
          <w:sz w:val="24"/>
          <w:szCs w:val="24"/>
        </w:rPr>
        <w:t>月</w:t>
      </w:r>
      <w:r>
        <w:rPr>
          <w:rFonts w:hint="eastAsia" w:ascii="Times New Roman" w:hAnsi="Times New Roman" w:eastAsia="仿宋"/>
          <w:sz w:val="24"/>
          <w:szCs w:val="24"/>
          <w:u w:val="single"/>
        </w:rPr>
        <w:t xml:space="preserve">      </w:t>
      </w:r>
      <w:r>
        <w:rPr>
          <w:rFonts w:hint="eastAsia" w:ascii="Times New Roman" w:hAnsi="Times New Roman" w:eastAsia="仿宋"/>
          <w:sz w:val="24"/>
          <w:szCs w:val="24"/>
        </w:rPr>
        <w:t>日</w:t>
      </w:r>
    </w:p>
    <w:p w14:paraId="7FAD857A">
      <w:pPr>
        <w:widowControl/>
        <w:ind w:right="105"/>
        <w:rPr>
          <w:rFonts w:hint="eastAsia" w:ascii="仿宋" w:hAnsi="仿宋" w:eastAsia="仿宋" w:cs="仿宋"/>
          <w:kern w:val="0"/>
        </w:rPr>
      </w:pPr>
    </w:p>
    <w:p w14:paraId="7A0497D0">
      <w:pPr>
        <w:spacing w:line="400" w:lineRule="exact"/>
        <w:ind w:firstLine="420" w:firstLineChars="200"/>
        <w:rPr>
          <w:rFonts w:hint="eastAsia" w:ascii="仿宋" w:hAnsi="仿宋" w:eastAsia="仿宋" w:cs="仿宋"/>
        </w:rPr>
      </w:pPr>
    </w:p>
    <w:bookmarkEnd w:id="479"/>
    <w:p w14:paraId="5BD33C34">
      <w:pPr>
        <w:pStyle w:val="3"/>
        <w:spacing w:after="0"/>
        <w:jc w:val="center"/>
        <w:rPr>
          <w:rFonts w:hint="eastAsia" w:ascii="仿宋" w:hAnsi="仿宋" w:eastAsia="仿宋" w:cs="仿宋"/>
        </w:rPr>
        <w:sectPr>
          <w:type w:val="continuous"/>
          <w:pgSz w:w="12240" w:h="15840"/>
          <w:pgMar w:top="1440" w:right="1803" w:bottom="1440" w:left="1803" w:header="720" w:footer="720" w:gutter="0"/>
          <w:cols w:space="720" w:num="1"/>
          <w:docGrid w:linePitch="285" w:charSpace="0"/>
        </w:sectPr>
      </w:pPr>
    </w:p>
    <w:bookmarkEnd w:id="477"/>
    <w:p w14:paraId="73800188">
      <w:pPr>
        <w:rPr>
          <w:rFonts w:hint="eastAsia" w:ascii="仿宋" w:hAnsi="仿宋" w:eastAsia="仿宋" w:cs="仿宋"/>
        </w:rPr>
      </w:pPr>
      <w:bookmarkStart w:id="480" w:name="_Toc32743"/>
      <w:bookmarkStart w:id="481" w:name="_Toc352703741"/>
      <w:bookmarkStart w:id="482" w:name="_Toc300835229"/>
      <w:r>
        <w:rPr>
          <w:rFonts w:hint="eastAsia" w:ascii="仿宋" w:hAnsi="仿宋" w:eastAsia="仿宋" w:cs="仿宋"/>
        </w:rPr>
        <w:br w:type="page"/>
      </w:r>
    </w:p>
    <w:p w14:paraId="1C42B6C5">
      <w:pPr>
        <w:pStyle w:val="3"/>
        <w:spacing w:after="0"/>
        <w:jc w:val="center"/>
        <w:rPr>
          <w:rFonts w:hint="eastAsia" w:ascii="仿宋" w:hAnsi="仿宋" w:eastAsia="仿宋" w:cs="仿宋"/>
        </w:rPr>
      </w:pPr>
      <w:bookmarkStart w:id="483" w:name="_Toc27127"/>
      <w:r>
        <w:rPr>
          <w:rFonts w:hint="eastAsia" w:ascii="仿宋" w:hAnsi="仿宋" w:eastAsia="仿宋" w:cs="仿宋"/>
        </w:rPr>
        <w:t>七、资格审查资料</w:t>
      </w:r>
      <w:bookmarkEnd w:id="480"/>
      <w:bookmarkEnd w:id="483"/>
    </w:p>
    <w:p w14:paraId="7EA11AB6">
      <w:pPr>
        <w:pStyle w:val="4"/>
        <w:spacing w:before="20" w:after="0"/>
        <w:ind w:firstLine="137"/>
        <w:jc w:val="center"/>
        <w:rPr>
          <w:rFonts w:hint="eastAsia" w:ascii="仿宋" w:hAnsi="仿宋" w:eastAsia="仿宋" w:cs="仿宋"/>
        </w:rPr>
      </w:pPr>
      <w:bookmarkStart w:id="484" w:name="_Toc10452"/>
      <w:bookmarkStart w:id="485" w:name="_Toc2922"/>
      <w:bookmarkStart w:id="486" w:name="_Toc691"/>
      <w:bookmarkStart w:id="487" w:name="_Toc437"/>
      <w:r>
        <w:rPr>
          <w:rFonts w:hint="eastAsia" w:ascii="仿宋" w:hAnsi="仿宋" w:eastAsia="仿宋" w:cs="仿宋"/>
        </w:rPr>
        <w:t>（一）基本情况表</w:t>
      </w:r>
      <w:bookmarkEnd w:id="484"/>
      <w:bookmarkEnd w:id="485"/>
      <w:bookmarkEnd w:id="486"/>
      <w:bookmarkEnd w:id="487"/>
    </w:p>
    <w:tbl>
      <w:tblPr>
        <w:tblStyle w:val="33"/>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14:paraId="75670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1EFE58D5">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供应商名称</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5EB2CAA1">
            <w:pPr>
              <w:topLinePunct/>
              <w:spacing w:line="440" w:lineRule="exact"/>
              <w:jc w:val="center"/>
              <w:rPr>
                <w:rFonts w:hint="eastAsia" w:ascii="仿宋" w:hAnsi="仿宋" w:eastAsia="仿宋" w:cs="仿宋"/>
                <w:sz w:val="24"/>
                <w:szCs w:val="24"/>
              </w:rPr>
            </w:pPr>
          </w:p>
        </w:tc>
      </w:tr>
      <w:tr w14:paraId="1E566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5C987CB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18025A11">
            <w:pPr>
              <w:topLinePunct/>
              <w:spacing w:line="440" w:lineRule="exact"/>
              <w:jc w:val="center"/>
              <w:rPr>
                <w:rFonts w:hint="eastAsia" w:ascii="仿宋" w:hAnsi="仿宋" w:eastAsia="仿宋" w:cs="仿宋"/>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4E9A77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2268" w:type="dxa"/>
            <w:tcBorders>
              <w:top w:val="single" w:color="auto" w:sz="4" w:space="0"/>
              <w:left w:val="single" w:color="auto" w:sz="4" w:space="0"/>
              <w:bottom w:val="single" w:color="auto" w:sz="4" w:space="0"/>
              <w:right w:val="single" w:color="auto" w:sz="4" w:space="0"/>
            </w:tcBorders>
            <w:vAlign w:val="center"/>
          </w:tcPr>
          <w:p w14:paraId="3E65D1B3">
            <w:pPr>
              <w:topLinePunct/>
              <w:spacing w:line="440" w:lineRule="exact"/>
              <w:jc w:val="center"/>
              <w:rPr>
                <w:rFonts w:hint="eastAsia" w:ascii="仿宋" w:hAnsi="仿宋" w:eastAsia="仿宋" w:cs="仿宋"/>
                <w:sz w:val="24"/>
                <w:szCs w:val="24"/>
              </w:rPr>
            </w:pPr>
          </w:p>
        </w:tc>
      </w:tr>
      <w:tr w14:paraId="15631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488F3D4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54921770">
            <w:pPr>
              <w:topLinePunct/>
              <w:spacing w:line="440" w:lineRule="exact"/>
              <w:jc w:val="center"/>
              <w:rPr>
                <w:rFonts w:hint="eastAsia" w:ascii="仿宋" w:hAnsi="仿宋" w:eastAsia="仿宋" w:cs="仿宋"/>
                <w:sz w:val="24"/>
                <w:szCs w:val="24"/>
              </w:rPr>
            </w:pPr>
          </w:p>
        </w:tc>
      </w:tr>
      <w:tr w14:paraId="38C31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55EAE8B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351CF639">
            <w:pPr>
              <w:topLinePunct/>
              <w:spacing w:line="440" w:lineRule="exact"/>
              <w:jc w:val="center"/>
              <w:rPr>
                <w:rFonts w:hint="eastAsia" w:ascii="仿宋" w:hAnsi="仿宋" w:eastAsia="仿宋" w:cs="仿宋"/>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205F1F6E">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员工总数</w:t>
            </w:r>
          </w:p>
        </w:tc>
        <w:tc>
          <w:tcPr>
            <w:tcW w:w="2268" w:type="dxa"/>
            <w:tcBorders>
              <w:top w:val="single" w:color="auto" w:sz="4" w:space="0"/>
              <w:left w:val="single" w:color="auto" w:sz="4" w:space="0"/>
              <w:bottom w:val="single" w:color="auto" w:sz="4" w:space="0"/>
              <w:right w:val="single" w:color="auto" w:sz="4" w:space="0"/>
            </w:tcBorders>
            <w:vAlign w:val="center"/>
          </w:tcPr>
          <w:p w14:paraId="542688C8">
            <w:pPr>
              <w:topLinePunct/>
              <w:spacing w:line="440" w:lineRule="exact"/>
              <w:jc w:val="center"/>
              <w:rPr>
                <w:rFonts w:hint="eastAsia" w:ascii="仿宋" w:hAnsi="仿宋" w:eastAsia="仿宋" w:cs="仿宋"/>
                <w:sz w:val="24"/>
                <w:szCs w:val="24"/>
              </w:rPr>
            </w:pPr>
          </w:p>
        </w:tc>
      </w:tr>
      <w:tr w14:paraId="0095C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vAlign w:val="center"/>
          </w:tcPr>
          <w:p w14:paraId="5EFAAA2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945" w:type="dxa"/>
            <w:tcBorders>
              <w:top w:val="single" w:color="auto" w:sz="4" w:space="0"/>
              <w:left w:val="single" w:color="auto" w:sz="4" w:space="0"/>
              <w:bottom w:val="single" w:color="auto" w:sz="4" w:space="0"/>
              <w:right w:val="single" w:color="auto" w:sz="4" w:space="0"/>
            </w:tcBorders>
            <w:vAlign w:val="center"/>
          </w:tcPr>
          <w:p w14:paraId="1DB53026">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09" w:type="dxa"/>
            <w:tcBorders>
              <w:top w:val="single" w:color="auto" w:sz="4" w:space="0"/>
              <w:left w:val="single" w:color="auto" w:sz="4" w:space="0"/>
              <w:bottom w:val="single" w:color="auto" w:sz="4" w:space="0"/>
              <w:right w:val="single" w:color="auto" w:sz="4" w:space="0"/>
            </w:tcBorders>
            <w:vAlign w:val="center"/>
          </w:tcPr>
          <w:p w14:paraId="094B2C2C">
            <w:pPr>
              <w:topLinePunct/>
              <w:spacing w:line="440" w:lineRule="exact"/>
              <w:jc w:val="center"/>
              <w:rPr>
                <w:rFonts w:hint="eastAsia" w:ascii="仿宋" w:hAnsi="仿宋" w:eastAsia="仿宋" w:cs="仿宋"/>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2E2139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08490E85">
            <w:pPr>
              <w:topLinePunct/>
              <w:spacing w:line="440" w:lineRule="exact"/>
              <w:jc w:val="center"/>
              <w:rPr>
                <w:rFonts w:hint="eastAsia" w:ascii="仿宋" w:hAnsi="仿宋" w:eastAsia="仿宋" w:cs="仿宋"/>
                <w:sz w:val="24"/>
                <w:szCs w:val="24"/>
              </w:rPr>
            </w:pPr>
          </w:p>
        </w:tc>
      </w:tr>
      <w:tr w14:paraId="0B3F2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vAlign w:val="center"/>
          </w:tcPr>
          <w:p w14:paraId="34CC2589">
            <w:pPr>
              <w:rPr>
                <w:rFonts w:hint="eastAsia" w:ascii="仿宋" w:hAnsi="仿宋" w:eastAsia="仿宋" w:cs="仿宋"/>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14:paraId="35951300">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09" w:type="dxa"/>
            <w:tcBorders>
              <w:top w:val="single" w:color="auto" w:sz="4" w:space="0"/>
              <w:left w:val="single" w:color="auto" w:sz="4" w:space="0"/>
              <w:bottom w:val="single" w:color="auto" w:sz="4" w:space="0"/>
              <w:right w:val="single" w:color="auto" w:sz="4" w:space="0"/>
            </w:tcBorders>
            <w:vAlign w:val="center"/>
          </w:tcPr>
          <w:p w14:paraId="27A93DC4">
            <w:pPr>
              <w:topLinePunct/>
              <w:spacing w:line="440" w:lineRule="exact"/>
              <w:jc w:val="center"/>
              <w:rPr>
                <w:rFonts w:hint="eastAsia" w:ascii="仿宋" w:hAnsi="仿宋" w:eastAsia="仿宋" w:cs="仿宋"/>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E195C0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传真</w:t>
            </w:r>
          </w:p>
        </w:tc>
        <w:tc>
          <w:tcPr>
            <w:tcW w:w="2268" w:type="dxa"/>
            <w:tcBorders>
              <w:top w:val="single" w:color="auto" w:sz="4" w:space="0"/>
              <w:left w:val="single" w:color="auto" w:sz="4" w:space="0"/>
              <w:bottom w:val="single" w:color="auto" w:sz="4" w:space="0"/>
              <w:right w:val="single" w:color="auto" w:sz="4" w:space="0"/>
            </w:tcBorders>
            <w:vAlign w:val="center"/>
          </w:tcPr>
          <w:p w14:paraId="1E68B065">
            <w:pPr>
              <w:topLinePunct/>
              <w:spacing w:line="440" w:lineRule="exact"/>
              <w:jc w:val="center"/>
              <w:rPr>
                <w:rFonts w:hint="eastAsia" w:ascii="仿宋" w:hAnsi="仿宋" w:eastAsia="仿宋" w:cs="仿宋"/>
                <w:sz w:val="24"/>
                <w:szCs w:val="24"/>
              </w:rPr>
            </w:pPr>
          </w:p>
        </w:tc>
      </w:tr>
      <w:tr w14:paraId="62DD1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13E4E645">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1862D1E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（单位负责人）</w:t>
            </w:r>
          </w:p>
        </w:tc>
        <w:tc>
          <w:tcPr>
            <w:tcW w:w="945" w:type="dxa"/>
            <w:tcBorders>
              <w:top w:val="single" w:color="auto" w:sz="4" w:space="0"/>
              <w:left w:val="single" w:color="auto" w:sz="4" w:space="0"/>
              <w:bottom w:val="single" w:color="auto" w:sz="4" w:space="0"/>
              <w:right w:val="single" w:color="auto" w:sz="4" w:space="0"/>
            </w:tcBorders>
            <w:vAlign w:val="center"/>
          </w:tcPr>
          <w:p w14:paraId="25CA05F0">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2409" w:type="dxa"/>
            <w:tcBorders>
              <w:top w:val="single" w:color="auto" w:sz="4" w:space="0"/>
              <w:left w:val="single" w:color="auto" w:sz="4" w:space="0"/>
              <w:bottom w:val="single" w:color="auto" w:sz="4" w:space="0"/>
              <w:right w:val="single" w:color="auto" w:sz="4" w:space="0"/>
            </w:tcBorders>
            <w:vAlign w:val="center"/>
          </w:tcPr>
          <w:p w14:paraId="514E24A1">
            <w:pPr>
              <w:topLinePunct/>
              <w:spacing w:line="440" w:lineRule="exact"/>
              <w:jc w:val="center"/>
              <w:rPr>
                <w:rFonts w:hint="eastAsia" w:ascii="仿宋" w:hAnsi="仿宋" w:eastAsia="仿宋" w:cs="仿宋"/>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803F78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50142321">
            <w:pPr>
              <w:topLinePunct/>
              <w:spacing w:line="440" w:lineRule="exact"/>
              <w:jc w:val="center"/>
              <w:rPr>
                <w:rFonts w:hint="eastAsia" w:ascii="仿宋" w:hAnsi="仿宋" w:eastAsia="仿宋" w:cs="仿宋"/>
                <w:sz w:val="24"/>
                <w:szCs w:val="24"/>
              </w:rPr>
            </w:pPr>
          </w:p>
        </w:tc>
      </w:tr>
      <w:tr w14:paraId="4C895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443A727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供应商须知要求供应商需具有的各类资质证书</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5FE0B4E2">
            <w:pPr>
              <w:topLinePunct/>
              <w:spacing w:line="440" w:lineRule="exact"/>
              <w:ind w:firstLine="120" w:firstLineChars="50"/>
              <w:rPr>
                <w:rFonts w:hint="eastAsia" w:ascii="仿宋" w:hAnsi="仿宋" w:eastAsia="仿宋" w:cs="仿宋"/>
                <w:sz w:val="24"/>
                <w:szCs w:val="24"/>
              </w:rPr>
            </w:pPr>
            <w:r>
              <w:rPr>
                <w:rFonts w:hint="eastAsia" w:ascii="仿宋" w:hAnsi="仿宋" w:eastAsia="仿宋" w:cs="仿宋"/>
                <w:sz w:val="24"/>
                <w:szCs w:val="24"/>
              </w:rPr>
              <w:t>类型：等级：证书号：</w:t>
            </w:r>
          </w:p>
        </w:tc>
      </w:tr>
      <w:tr w14:paraId="4781E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3B0535C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7A206561">
            <w:pPr>
              <w:topLinePunct/>
              <w:spacing w:line="440" w:lineRule="exact"/>
              <w:ind w:firstLine="120" w:firstLineChars="50"/>
              <w:rPr>
                <w:rFonts w:hint="eastAsia" w:ascii="仿宋" w:hAnsi="仿宋" w:eastAsia="仿宋" w:cs="仿宋"/>
                <w:sz w:val="24"/>
                <w:szCs w:val="24"/>
              </w:rPr>
            </w:pPr>
          </w:p>
        </w:tc>
      </w:tr>
      <w:tr w14:paraId="26C2C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3A868A0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基本账户银行账号</w:t>
            </w:r>
          </w:p>
        </w:tc>
        <w:tc>
          <w:tcPr>
            <w:tcW w:w="6757" w:type="dxa"/>
            <w:gridSpan w:val="4"/>
            <w:tcBorders>
              <w:top w:val="single" w:color="auto" w:sz="4" w:space="0"/>
              <w:left w:val="single" w:color="auto" w:sz="4" w:space="0"/>
              <w:right w:val="single" w:color="auto" w:sz="4" w:space="0"/>
            </w:tcBorders>
            <w:vAlign w:val="center"/>
          </w:tcPr>
          <w:p w14:paraId="6E95073F">
            <w:pPr>
              <w:topLinePunct/>
              <w:spacing w:line="440" w:lineRule="exact"/>
              <w:rPr>
                <w:rFonts w:hint="eastAsia" w:ascii="仿宋" w:hAnsi="仿宋" w:eastAsia="仿宋" w:cs="仿宋"/>
                <w:sz w:val="24"/>
                <w:szCs w:val="24"/>
              </w:rPr>
            </w:pPr>
          </w:p>
        </w:tc>
      </w:tr>
      <w:tr w14:paraId="5EFF0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0C261675">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6757" w:type="dxa"/>
            <w:gridSpan w:val="4"/>
            <w:tcBorders>
              <w:top w:val="single" w:color="auto" w:sz="4" w:space="0"/>
              <w:left w:val="single" w:color="auto" w:sz="4" w:space="0"/>
              <w:right w:val="single" w:color="auto" w:sz="4" w:space="0"/>
            </w:tcBorders>
            <w:vAlign w:val="center"/>
          </w:tcPr>
          <w:p w14:paraId="44A7016C">
            <w:pPr>
              <w:topLinePunct/>
              <w:spacing w:line="440" w:lineRule="exact"/>
              <w:rPr>
                <w:rFonts w:hint="eastAsia" w:ascii="仿宋" w:hAnsi="仿宋" w:eastAsia="仿宋" w:cs="仿宋"/>
                <w:sz w:val="24"/>
                <w:szCs w:val="24"/>
              </w:rPr>
            </w:pPr>
          </w:p>
        </w:tc>
      </w:tr>
      <w:tr w14:paraId="36E1C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vAlign w:val="center"/>
          </w:tcPr>
          <w:p w14:paraId="048CBC17">
            <w:pPr>
              <w:topLinePunct/>
              <w:spacing w:before="100" w:beforeAutospacing="1" w:after="100" w:afterAutospacing="1" w:line="440" w:lineRule="exact"/>
              <w:jc w:val="center"/>
              <w:rPr>
                <w:rFonts w:hint="eastAsia" w:ascii="仿宋" w:hAnsi="仿宋" w:eastAsia="仿宋" w:cs="仿宋"/>
                <w:sz w:val="24"/>
                <w:szCs w:val="24"/>
              </w:rPr>
            </w:pPr>
            <w:r>
              <w:rPr>
                <w:rFonts w:hint="eastAsia" w:ascii="仿宋" w:hAnsi="仿宋" w:eastAsia="仿宋" w:cs="仿宋"/>
                <w:sz w:val="24"/>
                <w:szCs w:val="24"/>
              </w:rPr>
              <w:t>供应商关联企业情况</w:t>
            </w:r>
          </w:p>
        </w:tc>
        <w:tc>
          <w:tcPr>
            <w:tcW w:w="6757" w:type="dxa"/>
            <w:gridSpan w:val="4"/>
            <w:tcBorders>
              <w:top w:val="single" w:color="auto" w:sz="4" w:space="0"/>
              <w:left w:val="single" w:color="auto" w:sz="4" w:space="0"/>
              <w:right w:val="single" w:color="auto" w:sz="4" w:space="0"/>
            </w:tcBorders>
            <w:vAlign w:val="center"/>
          </w:tcPr>
          <w:p w14:paraId="16B986FE">
            <w:pPr>
              <w:topLinePunct/>
              <w:jc w:val="left"/>
              <w:rPr>
                <w:rFonts w:hint="eastAsia" w:ascii="仿宋" w:hAnsi="仿宋" w:eastAsia="仿宋" w:cs="仿宋"/>
                <w:sz w:val="24"/>
                <w:szCs w:val="24"/>
              </w:rPr>
            </w:pPr>
            <w:r>
              <w:rPr>
                <w:rFonts w:hint="eastAsia" w:ascii="仿宋" w:hAnsi="仿宋" w:eastAsia="仿宋" w:cs="仿宋"/>
                <w:sz w:val="24"/>
                <w:szCs w:val="24"/>
              </w:rPr>
              <w:t>供应商应提供关联企业情况，包括：</w:t>
            </w:r>
          </w:p>
          <w:p w14:paraId="669CB819">
            <w:pPr>
              <w:topLinePunct/>
              <w:jc w:val="left"/>
              <w:rPr>
                <w:rFonts w:hint="eastAsia" w:ascii="仿宋" w:hAnsi="仿宋" w:eastAsia="仿宋" w:cs="仿宋"/>
                <w:sz w:val="24"/>
                <w:szCs w:val="24"/>
              </w:rPr>
            </w:pPr>
            <w:r>
              <w:rPr>
                <w:rFonts w:hint="eastAsia" w:ascii="仿宋" w:hAnsi="仿宋" w:eastAsia="仿宋" w:cs="仿宋"/>
                <w:sz w:val="24"/>
                <w:szCs w:val="24"/>
              </w:rPr>
              <w:t>（1）供应商投资（控股）或管理的下属企业名称、持有股权（出资额）比例；</w:t>
            </w:r>
          </w:p>
          <w:p w14:paraId="429E7FEB">
            <w:pPr>
              <w:topLinePunct/>
              <w:jc w:val="left"/>
              <w:rPr>
                <w:rFonts w:hint="eastAsia" w:ascii="仿宋" w:hAnsi="仿宋" w:eastAsia="仿宋" w:cs="仿宋"/>
                <w:sz w:val="24"/>
                <w:szCs w:val="24"/>
              </w:rPr>
            </w:pPr>
            <w:r>
              <w:rPr>
                <w:rFonts w:hint="eastAsia" w:ascii="仿宋" w:hAnsi="仿宋" w:eastAsia="仿宋" w:cs="仿宋"/>
                <w:sz w:val="24"/>
                <w:szCs w:val="24"/>
              </w:rPr>
              <w:t>（2）与供应商单位负责人（即法定代表人）为同一人的其他单位名称；</w:t>
            </w:r>
          </w:p>
          <w:p w14:paraId="610449F2">
            <w:pPr>
              <w:topLinePunct/>
              <w:jc w:val="left"/>
              <w:rPr>
                <w:rFonts w:hint="eastAsia" w:ascii="仿宋" w:hAnsi="仿宋" w:eastAsia="仿宋" w:cs="仿宋"/>
                <w:sz w:val="24"/>
                <w:szCs w:val="24"/>
              </w:rPr>
            </w:pPr>
            <w:r>
              <w:rPr>
                <w:rFonts w:hint="eastAsia" w:ascii="仿宋" w:hAnsi="仿宋" w:eastAsia="仿宋" w:cs="仿宋"/>
                <w:sz w:val="24"/>
                <w:szCs w:val="24"/>
              </w:rPr>
              <w:t>（3）......</w:t>
            </w:r>
          </w:p>
        </w:tc>
      </w:tr>
      <w:tr w14:paraId="6BD43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vAlign w:val="center"/>
          </w:tcPr>
          <w:p w14:paraId="523FEA2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7BA10449">
            <w:pPr>
              <w:topLinePunct/>
              <w:spacing w:line="440" w:lineRule="exact"/>
              <w:jc w:val="center"/>
              <w:rPr>
                <w:rFonts w:hint="eastAsia" w:ascii="仿宋" w:hAnsi="仿宋" w:eastAsia="仿宋" w:cs="仿宋"/>
                <w:sz w:val="24"/>
                <w:szCs w:val="24"/>
              </w:rPr>
            </w:pPr>
          </w:p>
        </w:tc>
      </w:tr>
    </w:tbl>
    <w:p w14:paraId="12074E97">
      <w:pPr>
        <w:spacing w:line="400" w:lineRule="exact"/>
        <w:rPr>
          <w:rFonts w:hint="eastAsia" w:ascii="仿宋" w:hAnsi="仿宋" w:eastAsia="仿宋" w:cs="仿宋"/>
        </w:rPr>
      </w:pPr>
      <w:r>
        <w:rPr>
          <w:rFonts w:hint="eastAsia" w:ascii="仿宋" w:hAnsi="仿宋" w:eastAsia="仿宋" w:cs="仿宋"/>
        </w:rPr>
        <w:t>注：</w:t>
      </w:r>
    </w:p>
    <w:p w14:paraId="39B8594A">
      <w:pPr>
        <w:spacing w:line="400" w:lineRule="exact"/>
        <w:ind w:firstLine="420" w:firstLineChars="200"/>
        <w:rPr>
          <w:rFonts w:hint="eastAsia" w:ascii="仿宋" w:hAnsi="仿宋" w:eastAsia="仿宋" w:cs="仿宋"/>
        </w:rPr>
      </w:pPr>
      <w:r>
        <w:rPr>
          <w:rFonts w:hint="eastAsia" w:ascii="仿宋" w:hAnsi="仿宋" w:eastAsia="仿宋" w:cs="仿宋"/>
        </w:rPr>
        <w:t>1. 供应商应根据本项目供应商资格要求，在本表后附资质证书、营业执照和组织机构代码证的（按照“三证合一”或“五证合一”登记制度进行登记的，可仅提供营业执照）等相关证明材料。</w:t>
      </w:r>
    </w:p>
    <w:p w14:paraId="7899EB6F">
      <w:pPr>
        <w:spacing w:line="400" w:lineRule="exact"/>
        <w:ind w:firstLine="420" w:firstLineChars="200"/>
        <w:rPr>
          <w:rFonts w:hint="eastAsia" w:ascii="仿宋" w:hAnsi="仿宋" w:eastAsia="仿宋" w:cs="仿宋"/>
        </w:rPr>
      </w:pPr>
      <w:r>
        <w:rPr>
          <w:rFonts w:hint="eastAsia" w:ascii="仿宋" w:hAnsi="仿宋" w:eastAsia="仿宋" w:cs="仿宋"/>
        </w:rPr>
        <w:t>2. 供应商为依法允许经营的事业单位的，应提交事业单位法人证书和组织机构代码。</w:t>
      </w:r>
    </w:p>
    <w:p w14:paraId="460F761B">
      <w:pPr>
        <w:spacing w:line="400" w:lineRule="exact"/>
        <w:ind w:firstLine="420" w:firstLineChars="200"/>
        <w:rPr>
          <w:rFonts w:hint="eastAsia" w:ascii="仿宋" w:hAnsi="仿宋" w:eastAsia="仿宋" w:cs="仿宋"/>
        </w:rPr>
      </w:pPr>
      <w:r>
        <w:rPr>
          <w:rFonts w:hint="eastAsia" w:ascii="仿宋" w:hAnsi="仿宋" w:eastAsia="仿宋" w:cs="仿宋"/>
        </w:rPr>
        <w:t>3. 接受联合体的，联合体成员分别填写。</w:t>
      </w:r>
    </w:p>
    <w:p w14:paraId="6E830B6B">
      <w:pPr>
        <w:spacing w:line="400" w:lineRule="exact"/>
        <w:ind w:firstLine="420" w:firstLineChars="200"/>
        <w:rPr>
          <w:rFonts w:hint="eastAsia" w:ascii="仿宋" w:hAnsi="仿宋" w:eastAsia="仿宋" w:cs="仿宋"/>
        </w:rPr>
      </w:pPr>
    </w:p>
    <w:p w14:paraId="608431ED">
      <w:pPr>
        <w:spacing w:line="400" w:lineRule="exact"/>
        <w:rPr>
          <w:rFonts w:hint="eastAsia" w:ascii="仿宋" w:hAnsi="仿宋" w:eastAsia="仿宋" w:cs="仿宋"/>
        </w:rPr>
      </w:pPr>
    </w:p>
    <w:p w14:paraId="5A54C304">
      <w:pPr>
        <w:spacing w:line="440" w:lineRule="exact"/>
        <w:rPr>
          <w:rFonts w:hint="eastAsia" w:ascii="仿宋" w:hAnsi="仿宋" w:eastAsia="仿宋" w:cs="仿宋"/>
          <w:sz w:val="20"/>
        </w:rPr>
      </w:pPr>
      <w:r>
        <w:rPr>
          <w:rFonts w:hint="eastAsia" w:ascii="仿宋" w:hAnsi="仿宋" w:eastAsia="仿宋" w:cs="仿宋"/>
        </w:rPr>
        <w:br w:type="page"/>
      </w:r>
    </w:p>
    <w:p w14:paraId="7BB244C5">
      <w:pPr>
        <w:pStyle w:val="4"/>
        <w:spacing w:before="20" w:after="0"/>
        <w:ind w:firstLine="137"/>
        <w:jc w:val="center"/>
        <w:rPr>
          <w:rFonts w:hint="eastAsia" w:ascii="仿宋" w:hAnsi="仿宋" w:eastAsia="仿宋" w:cs="仿宋"/>
        </w:rPr>
      </w:pPr>
      <w:bookmarkStart w:id="488" w:name="_Toc14559"/>
      <w:bookmarkStart w:id="489" w:name="_Toc26291"/>
      <w:bookmarkStart w:id="490" w:name="_Toc31174"/>
      <w:bookmarkStart w:id="491" w:name="_Toc196323497"/>
      <w:r>
        <w:rPr>
          <w:rFonts w:hint="eastAsia" w:ascii="仿宋" w:hAnsi="仿宋" w:eastAsia="仿宋" w:cs="仿宋"/>
        </w:rPr>
        <w:t>（二）</w:t>
      </w:r>
      <w:r>
        <w:rPr>
          <w:rFonts w:hint="eastAsia" w:ascii="仿宋" w:hAnsi="仿宋" w:eastAsia="仿宋" w:cs="仿宋"/>
          <w:szCs w:val="24"/>
        </w:rPr>
        <w:t>近年财务状况（如要求）</w:t>
      </w:r>
      <w:bookmarkEnd w:id="488"/>
      <w:bookmarkEnd w:id="489"/>
      <w:bookmarkEnd w:id="490"/>
      <w:bookmarkEnd w:id="491"/>
    </w:p>
    <w:p w14:paraId="0CE60EA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注：供应商应根据询比采购公告</w:t>
      </w:r>
      <w:r>
        <w:rPr>
          <w:rFonts w:hint="eastAsia" w:ascii="仿宋" w:hAnsi="仿宋" w:eastAsia="仿宋" w:cs="仿宋"/>
          <w:bCs/>
          <w:snapToGrid w:val="0"/>
          <w:sz w:val="24"/>
          <w:szCs w:val="24"/>
        </w:rPr>
        <w:t>要求，提供财务状况资料。如要求提供</w:t>
      </w:r>
      <w:r>
        <w:rPr>
          <w:rFonts w:hint="eastAsia" w:ascii="仿宋" w:hAnsi="仿宋" w:eastAsia="仿宋" w:cs="仿宋"/>
          <w:sz w:val="24"/>
          <w:szCs w:val="24"/>
        </w:rPr>
        <w:t>“近年财务状况表”的，应按年份要求附经会计师事务所或审计机构审计的财务会计报表，包括资产负债表、现金流量表、利润表和财务情况说明书。供应商的成立时间少于采购公告规定年份的，应提供成立以来的财务状况表。</w:t>
      </w:r>
    </w:p>
    <w:p w14:paraId="419D8A33">
      <w:pPr>
        <w:topLinePunct/>
        <w:spacing w:line="440" w:lineRule="exact"/>
        <w:ind w:firstLine="400" w:firstLineChars="200"/>
        <w:rPr>
          <w:rFonts w:hint="eastAsia" w:ascii="仿宋" w:hAnsi="仿宋" w:eastAsia="仿宋" w:cs="仿宋"/>
          <w:sz w:val="20"/>
        </w:rPr>
      </w:pPr>
    </w:p>
    <w:p w14:paraId="5F0A8304">
      <w:pPr>
        <w:widowControl/>
        <w:jc w:val="left"/>
        <w:rPr>
          <w:rFonts w:hint="eastAsia" w:ascii="仿宋" w:hAnsi="仿宋" w:eastAsia="仿宋" w:cs="仿宋"/>
        </w:rPr>
      </w:pPr>
      <w:r>
        <w:rPr>
          <w:rFonts w:ascii="仿宋" w:hAnsi="仿宋" w:eastAsia="仿宋" w:cs="仿宋"/>
        </w:rPr>
        <w:br w:type="page"/>
      </w:r>
    </w:p>
    <w:p w14:paraId="2C7E9BE8">
      <w:pPr>
        <w:pStyle w:val="4"/>
        <w:spacing w:before="20" w:after="0"/>
        <w:ind w:firstLine="137"/>
        <w:jc w:val="center"/>
        <w:rPr>
          <w:rFonts w:hint="eastAsia" w:ascii="仿宋" w:hAnsi="仿宋" w:eastAsia="仿宋" w:cs="仿宋"/>
          <w:szCs w:val="24"/>
        </w:rPr>
      </w:pPr>
      <w:bookmarkStart w:id="492" w:name="_Toc1350"/>
      <w:bookmarkStart w:id="493" w:name="_Toc25218"/>
      <w:bookmarkStart w:id="494" w:name="_Toc8963"/>
      <w:bookmarkStart w:id="495" w:name="_Toc196323498"/>
      <w:r>
        <w:rPr>
          <w:rFonts w:hint="eastAsia" w:ascii="仿宋" w:hAnsi="仿宋" w:eastAsia="仿宋" w:cs="仿宋"/>
        </w:rPr>
        <w:t>（三）</w:t>
      </w:r>
      <w:bookmarkStart w:id="496" w:name="_Toc17174"/>
      <w:r>
        <w:rPr>
          <w:rFonts w:hint="eastAsia" w:ascii="仿宋" w:hAnsi="仿宋" w:eastAsia="仿宋" w:cs="仿宋"/>
          <w:szCs w:val="24"/>
        </w:rPr>
        <w:t>供应商业绩情况表</w:t>
      </w:r>
      <w:bookmarkEnd w:id="492"/>
      <w:bookmarkEnd w:id="493"/>
      <w:bookmarkEnd w:id="494"/>
      <w:bookmarkEnd w:id="495"/>
      <w:bookmarkEnd w:id="496"/>
    </w:p>
    <w:tbl>
      <w:tblPr>
        <w:tblStyle w:val="3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3"/>
        <w:gridCol w:w="5353"/>
        <w:gridCol w:w="1849"/>
      </w:tblGrid>
      <w:tr w14:paraId="468F6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000" w:type="pct"/>
            <w:gridSpan w:val="3"/>
            <w:vAlign w:val="center"/>
          </w:tcPr>
          <w:p w14:paraId="493F0CDC">
            <w:pPr>
              <w:jc w:val="center"/>
              <w:rPr>
                <w:rFonts w:hint="eastAsia" w:ascii="仿宋" w:hAnsi="仿宋" w:eastAsia="仿宋" w:cs="仿宋"/>
                <w:bCs/>
                <w:sz w:val="24"/>
                <w:szCs w:val="24"/>
              </w:rPr>
            </w:pPr>
            <w:r>
              <w:rPr>
                <w:rFonts w:hint="eastAsia" w:ascii="仿宋" w:hAnsi="仿宋" w:eastAsia="仿宋" w:cs="仿宋"/>
                <w:bCs/>
                <w:sz w:val="24"/>
                <w:szCs w:val="24"/>
              </w:rPr>
              <w:t>资格审查业绩</w:t>
            </w:r>
          </w:p>
        </w:tc>
      </w:tr>
      <w:tr w14:paraId="4F935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vAlign w:val="center"/>
          </w:tcPr>
          <w:p w14:paraId="7A64831E">
            <w:pPr>
              <w:jc w:val="center"/>
              <w:rPr>
                <w:rFonts w:hint="eastAsia" w:ascii="仿宋" w:hAnsi="仿宋" w:eastAsia="仿宋" w:cs="仿宋"/>
                <w:bCs/>
                <w:sz w:val="24"/>
                <w:szCs w:val="24"/>
              </w:rPr>
            </w:pPr>
            <w:r>
              <w:rPr>
                <w:rFonts w:hint="eastAsia" w:ascii="仿宋" w:hAnsi="仿宋" w:eastAsia="仿宋" w:cs="仿宋"/>
                <w:bCs/>
                <w:sz w:val="24"/>
                <w:szCs w:val="24"/>
              </w:rPr>
              <w:t>业绩序号</w:t>
            </w:r>
          </w:p>
        </w:tc>
        <w:tc>
          <w:tcPr>
            <w:tcW w:w="3026" w:type="pct"/>
            <w:vAlign w:val="center"/>
          </w:tcPr>
          <w:p w14:paraId="7C89A777">
            <w:pPr>
              <w:jc w:val="center"/>
              <w:rPr>
                <w:rFonts w:hint="eastAsia" w:ascii="仿宋" w:hAnsi="仿宋" w:eastAsia="仿宋" w:cs="仿宋"/>
                <w:bCs/>
                <w:sz w:val="24"/>
                <w:szCs w:val="24"/>
              </w:rPr>
            </w:pPr>
            <w:r>
              <w:rPr>
                <w:rFonts w:hint="eastAsia" w:ascii="仿宋" w:hAnsi="仿宋" w:eastAsia="仿宋" w:cs="仿宋"/>
                <w:bCs/>
                <w:sz w:val="24"/>
                <w:szCs w:val="24"/>
              </w:rPr>
              <w:t>项目名称（合同名称）</w:t>
            </w:r>
          </w:p>
        </w:tc>
        <w:tc>
          <w:tcPr>
            <w:tcW w:w="1043" w:type="pct"/>
            <w:vAlign w:val="center"/>
          </w:tcPr>
          <w:p w14:paraId="390BECAA">
            <w:pPr>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64F90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vAlign w:val="center"/>
          </w:tcPr>
          <w:p w14:paraId="702B7ABD">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3026" w:type="pct"/>
            <w:vAlign w:val="center"/>
          </w:tcPr>
          <w:p w14:paraId="10C0AB84">
            <w:pPr>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1043" w:type="pct"/>
            <w:vAlign w:val="center"/>
          </w:tcPr>
          <w:p w14:paraId="1E31CA1A">
            <w:pPr>
              <w:jc w:val="center"/>
              <w:rPr>
                <w:rFonts w:hint="eastAsia" w:ascii="仿宋" w:hAnsi="仿宋" w:eastAsia="仿宋" w:cs="仿宋"/>
                <w:bCs/>
                <w:sz w:val="24"/>
                <w:szCs w:val="24"/>
              </w:rPr>
            </w:pPr>
          </w:p>
        </w:tc>
      </w:tr>
      <w:tr w14:paraId="6589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vAlign w:val="center"/>
          </w:tcPr>
          <w:p w14:paraId="4E900A0C">
            <w:pPr>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3026" w:type="pct"/>
            <w:vAlign w:val="center"/>
          </w:tcPr>
          <w:p w14:paraId="0557BF6B">
            <w:pPr>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1043" w:type="pct"/>
            <w:vAlign w:val="center"/>
          </w:tcPr>
          <w:p w14:paraId="41FF4942">
            <w:pPr>
              <w:jc w:val="center"/>
              <w:rPr>
                <w:rFonts w:hint="eastAsia" w:ascii="仿宋" w:hAnsi="仿宋" w:eastAsia="仿宋" w:cs="仿宋"/>
                <w:bCs/>
                <w:sz w:val="24"/>
                <w:szCs w:val="24"/>
              </w:rPr>
            </w:pPr>
          </w:p>
        </w:tc>
      </w:tr>
      <w:tr w14:paraId="40363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vAlign w:val="center"/>
          </w:tcPr>
          <w:p w14:paraId="1E1359BA">
            <w:pPr>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3026" w:type="pct"/>
            <w:vAlign w:val="center"/>
          </w:tcPr>
          <w:p w14:paraId="4B94FB5F">
            <w:pPr>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1043" w:type="pct"/>
            <w:vAlign w:val="center"/>
          </w:tcPr>
          <w:p w14:paraId="368D9A20">
            <w:pPr>
              <w:jc w:val="center"/>
              <w:rPr>
                <w:rFonts w:hint="eastAsia" w:ascii="仿宋" w:hAnsi="仿宋" w:eastAsia="仿宋" w:cs="仿宋"/>
                <w:bCs/>
                <w:sz w:val="24"/>
                <w:szCs w:val="24"/>
              </w:rPr>
            </w:pPr>
          </w:p>
        </w:tc>
      </w:tr>
      <w:tr w14:paraId="33D4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vAlign w:val="center"/>
          </w:tcPr>
          <w:p w14:paraId="3A001D57">
            <w:pPr>
              <w:jc w:val="center"/>
              <w:rPr>
                <w:rFonts w:hint="eastAsia" w:ascii="仿宋" w:hAnsi="仿宋" w:eastAsia="仿宋" w:cs="仿宋"/>
                <w:bCs/>
                <w:sz w:val="24"/>
                <w:szCs w:val="24"/>
              </w:rPr>
            </w:pPr>
            <w:r>
              <w:rPr>
                <w:rFonts w:hint="eastAsia" w:ascii="仿宋" w:hAnsi="仿宋" w:eastAsia="仿宋" w:cs="仿宋"/>
                <w:bCs/>
                <w:sz w:val="24"/>
                <w:szCs w:val="24"/>
              </w:rPr>
              <w:t>商务评分业绩</w:t>
            </w:r>
          </w:p>
        </w:tc>
      </w:tr>
      <w:tr w14:paraId="07E1E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vAlign w:val="center"/>
          </w:tcPr>
          <w:p w14:paraId="4D2FF2B6">
            <w:pPr>
              <w:jc w:val="center"/>
              <w:rPr>
                <w:rFonts w:hint="eastAsia" w:ascii="仿宋" w:hAnsi="仿宋" w:eastAsia="仿宋" w:cs="仿宋"/>
                <w:bCs/>
                <w:sz w:val="24"/>
                <w:szCs w:val="24"/>
              </w:rPr>
            </w:pPr>
            <w:r>
              <w:rPr>
                <w:rFonts w:hint="eastAsia" w:ascii="仿宋" w:hAnsi="仿宋" w:eastAsia="仿宋" w:cs="仿宋"/>
                <w:bCs/>
                <w:sz w:val="24"/>
                <w:szCs w:val="24"/>
              </w:rPr>
              <w:t>业绩序号</w:t>
            </w:r>
          </w:p>
        </w:tc>
        <w:tc>
          <w:tcPr>
            <w:tcW w:w="3026" w:type="pct"/>
            <w:vAlign w:val="center"/>
          </w:tcPr>
          <w:p w14:paraId="7E3C05C0">
            <w:pPr>
              <w:jc w:val="center"/>
              <w:rPr>
                <w:rFonts w:hint="eastAsia" w:ascii="仿宋" w:hAnsi="仿宋" w:eastAsia="仿宋" w:cs="仿宋"/>
                <w:bCs/>
                <w:sz w:val="24"/>
                <w:szCs w:val="24"/>
              </w:rPr>
            </w:pPr>
            <w:r>
              <w:rPr>
                <w:rFonts w:hint="eastAsia" w:ascii="仿宋" w:hAnsi="仿宋" w:eastAsia="仿宋" w:cs="仿宋"/>
                <w:bCs/>
                <w:sz w:val="24"/>
                <w:szCs w:val="24"/>
              </w:rPr>
              <w:t>项目名称（合同名称）</w:t>
            </w:r>
          </w:p>
        </w:tc>
        <w:tc>
          <w:tcPr>
            <w:tcW w:w="1043" w:type="pct"/>
            <w:vAlign w:val="center"/>
          </w:tcPr>
          <w:p w14:paraId="762418FC">
            <w:pPr>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7DBD6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vAlign w:val="center"/>
          </w:tcPr>
          <w:p w14:paraId="2F89CABC">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3026" w:type="pct"/>
            <w:vAlign w:val="center"/>
          </w:tcPr>
          <w:p w14:paraId="594DCCC6">
            <w:pPr>
              <w:jc w:val="center"/>
              <w:rPr>
                <w:rFonts w:hint="eastAsia" w:ascii="仿宋" w:hAnsi="仿宋" w:eastAsia="仿宋" w:cs="仿宋"/>
                <w:bCs/>
                <w:sz w:val="24"/>
                <w:szCs w:val="24"/>
              </w:rPr>
            </w:pPr>
          </w:p>
        </w:tc>
        <w:tc>
          <w:tcPr>
            <w:tcW w:w="1043" w:type="pct"/>
            <w:vAlign w:val="center"/>
          </w:tcPr>
          <w:p w14:paraId="5CE17886">
            <w:pPr>
              <w:jc w:val="center"/>
              <w:rPr>
                <w:rFonts w:hint="eastAsia" w:ascii="仿宋" w:hAnsi="仿宋" w:eastAsia="仿宋" w:cs="仿宋"/>
                <w:bCs/>
                <w:sz w:val="24"/>
                <w:szCs w:val="24"/>
              </w:rPr>
            </w:pPr>
          </w:p>
        </w:tc>
      </w:tr>
      <w:tr w14:paraId="7268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9" w:type="pct"/>
            <w:vAlign w:val="center"/>
          </w:tcPr>
          <w:p w14:paraId="1A073F15">
            <w:pPr>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3026" w:type="pct"/>
            <w:vAlign w:val="center"/>
          </w:tcPr>
          <w:p w14:paraId="6E835186">
            <w:pPr>
              <w:jc w:val="center"/>
              <w:rPr>
                <w:rFonts w:hint="eastAsia" w:ascii="仿宋" w:hAnsi="仿宋" w:eastAsia="仿宋" w:cs="仿宋"/>
                <w:bCs/>
                <w:sz w:val="24"/>
                <w:szCs w:val="24"/>
              </w:rPr>
            </w:pPr>
          </w:p>
        </w:tc>
        <w:tc>
          <w:tcPr>
            <w:tcW w:w="1043" w:type="pct"/>
            <w:vAlign w:val="center"/>
          </w:tcPr>
          <w:p w14:paraId="52CC3DAC">
            <w:pPr>
              <w:jc w:val="center"/>
              <w:rPr>
                <w:rFonts w:hint="eastAsia" w:ascii="仿宋" w:hAnsi="仿宋" w:eastAsia="仿宋" w:cs="仿宋"/>
                <w:bCs/>
                <w:sz w:val="24"/>
                <w:szCs w:val="24"/>
              </w:rPr>
            </w:pPr>
          </w:p>
        </w:tc>
      </w:tr>
      <w:tr w14:paraId="65640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0" w:type="auto"/>
            <w:vAlign w:val="center"/>
          </w:tcPr>
          <w:p w14:paraId="05FC78ED">
            <w:pPr>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0" w:type="auto"/>
            <w:vAlign w:val="center"/>
          </w:tcPr>
          <w:p w14:paraId="2EAB0C26">
            <w:pPr>
              <w:jc w:val="center"/>
              <w:rPr>
                <w:rFonts w:hint="eastAsia" w:ascii="仿宋" w:hAnsi="仿宋" w:eastAsia="仿宋" w:cs="仿宋"/>
                <w:bCs/>
                <w:sz w:val="24"/>
                <w:szCs w:val="24"/>
              </w:rPr>
            </w:pPr>
          </w:p>
        </w:tc>
        <w:tc>
          <w:tcPr>
            <w:tcW w:w="0" w:type="auto"/>
            <w:vAlign w:val="center"/>
          </w:tcPr>
          <w:p w14:paraId="02B913DA">
            <w:pPr>
              <w:jc w:val="center"/>
              <w:rPr>
                <w:rFonts w:hint="eastAsia" w:ascii="仿宋" w:hAnsi="仿宋" w:eastAsia="仿宋" w:cs="仿宋"/>
                <w:bCs/>
                <w:sz w:val="24"/>
                <w:szCs w:val="24"/>
              </w:rPr>
            </w:pPr>
          </w:p>
        </w:tc>
      </w:tr>
    </w:tbl>
    <w:p w14:paraId="20C70542">
      <w:pPr>
        <w:spacing w:line="360" w:lineRule="auto"/>
        <w:ind w:firstLine="420" w:firstLineChars="200"/>
        <w:rPr>
          <w:rFonts w:hint="eastAsia" w:ascii="仿宋" w:hAnsi="仿宋" w:eastAsia="仿宋" w:cs="仿宋"/>
        </w:rPr>
      </w:pPr>
    </w:p>
    <w:p w14:paraId="596A69B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供应商应将用于资格审查及商务评分的供应商业绩在上表中列明，按照列明的业绩序号先后顺序依次填写“供应商业绩信息表（详细评审）”，并附相应业绩证明材料。应附证明材料及时间要求见第一章“询比采购公告”或第三章“评审办法”相关内容。</w:t>
      </w:r>
    </w:p>
    <w:p w14:paraId="44AC82C2">
      <w:pPr>
        <w:widowControl/>
        <w:jc w:val="left"/>
        <w:rPr>
          <w:rFonts w:hint="eastAsia" w:ascii="仿宋" w:hAnsi="仿宋" w:eastAsia="仿宋" w:cs="仿宋"/>
          <w:sz w:val="24"/>
          <w:szCs w:val="24"/>
        </w:rPr>
      </w:pPr>
      <w:r>
        <w:rPr>
          <w:rFonts w:ascii="仿宋" w:hAnsi="仿宋" w:eastAsia="仿宋" w:cs="仿宋"/>
          <w:sz w:val="24"/>
          <w:szCs w:val="24"/>
        </w:rPr>
        <w:br w:type="page"/>
      </w:r>
    </w:p>
    <w:p w14:paraId="3B3D3B10">
      <w:pPr>
        <w:pStyle w:val="4"/>
        <w:numPr>
          <w:ilvl w:val="0"/>
          <w:numId w:val="4"/>
        </w:numPr>
        <w:ind w:firstLine="137"/>
        <w:jc w:val="center"/>
        <w:rPr>
          <w:rFonts w:hint="eastAsia" w:ascii="仿宋" w:hAnsi="仿宋" w:eastAsia="仿宋" w:cs="仿宋"/>
        </w:rPr>
      </w:pPr>
      <w:bookmarkStart w:id="497" w:name="_Toc31751"/>
      <w:bookmarkStart w:id="498" w:name="_Toc196323499"/>
      <w:bookmarkStart w:id="499" w:name="_Toc20943"/>
      <w:bookmarkStart w:id="500" w:name="_Toc17664"/>
      <w:bookmarkStart w:id="501" w:name="_Toc23215"/>
      <w:r>
        <w:rPr>
          <w:rFonts w:hint="eastAsia" w:ascii="仿宋" w:hAnsi="仿宋" w:eastAsia="仿宋" w:cs="仿宋"/>
        </w:rPr>
        <w:t>供应商业绩信息表</w:t>
      </w:r>
      <w:bookmarkEnd w:id="497"/>
      <w:bookmarkEnd w:id="498"/>
      <w:bookmarkEnd w:id="499"/>
      <w:bookmarkEnd w:id="500"/>
      <w:bookmarkEnd w:id="501"/>
    </w:p>
    <w:p w14:paraId="574B1279"/>
    <w:tbl>
      <w:tblPr>
        <w:tblStyle w:val="33"/>
        <w:tblW w:w="5019"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6519"/>
      </w:tblGrid>
      <w:tr w14:paraId="4B41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4999365F">
            <w:pPr>
              <w:autoSpaceDE w:val="0"/>
              <w:autoSpaceDN w:val="0"/>
              <w:adjustRightInd w:val="0"/>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p w14:paraId="0A739DC5">
            <w:pPr>
              <w:autoSpaceDE w:val="0"/>
              <w:autoSpaceDN w:val="0"/>
              <w:adjustRightInd w:val="0"/>
              <w:spacing w:line="300" w:lineRule="exact"/>
              <w:jc w:val="center"/>
              <w:rPr>
                <w:rFonts w:hint="eastAsia" w:ascii="仿宋" w:hAnsi="仿宋" w:eastAsia="仿宋" w:cs="仿宋"/>
                <w:sz w:val="24"/>
                <w:szCs w:val="24"/>
              </w:rPr>
            </w:pPr>
            <w:r>
              <w:rPr>
                <w:rFonts w:hint="eastAsia" w:ascii="仿宋" w:hAnsi="仿宋" w:eastAsia="仿宋" w:cs="仿宋"/>
                <w:kern w:val="0"/>
                <w:sz w:val="24"/>
                <w:szCs w:val="24"/>
              </w:rPr>
              <w:t>（合同名称）</w:t>
            </w:r>
          </w:p>
        </w:tc>
        <w:tc>
          <w:tcPr>
            <w:tcW w:w="6274" w:type="dxa"/>
            <w:vAlign w:val="center"/>
          </w:tcPr>
          <w:p w14:paraId="4FA9EE07">
            <w:pPr>
              <w:topLinePunct/>
              <w:spacing w:line="360" w:lineRule="auto"/>
              <w:rPr>
                <w:rFonts w:hint="eastAsia" w:ascii="仿宋" w:hAnsi="仿宋" w:eastAsia="仿宋" w:cs="仿宋"/>
                <w:sz w:val="24"/>
                <w:szCs w:val="24"/>
              </w:rPr>
            </w:pPr>
          </w:p>
        </w:tc>
      </w:tr>
      <w:tr w14:paraId="11E1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4B2FA378">
            <w:pPr>
              <w:autoSpaceDE w:val="0"/>
              <w:autoSpaceDN w:val="0"/>
              <w:adjustRightInd w:val="0"/>
              <w:spacing w:line="300" w:lineRule="exact"/>
              <w:jc w:val="center"/>
              <w:rPr>
                <w:rFonts w:hint="eastAsia" w:ascii="仿宋" w:hAnsi="仿宋" w:eastAsia="仿宋" w:cs="仿宋"/>
                <w:sz w:val="24"/>
                <w:szCs w:val="24"/>
              </w:rPr>
            </w:pPr>
            <w:r>
              <w:rPr>
                <w:rFonts w:hint="eastAsia" w:ascii="仿宋" w:hAnsi="仿宋" w:eastAsia="仿宋" w:cs="仿宋"/>
                <w:kern w:val="0"/>
                <w:sz w:val="24"/>
                <w:szCs w:val="24"/>
              </w:rPr>
              <w:t>项目所在地</w:t>
            </w:r>
          </w:p>
        </w:tc>
        <w:tc>
          <w:tcPr>
            <w:tcW w:w="6274" w:type="dxa"/>
            <w:vAlign w:val="center"/>
          </w:tcPr>
          <w:p w14:paraId="0A28055C">
            <w:pPr>
              <w:topLinePunct/>
              <w:spacing w:line="360" w:lineRule="auto"/>
              <w:rPr>
                <w:rFonts w:hint="eastAsia" w:ascii="仿宋" w:hAnsi="仿宋" w:eastAsia="仿宋" w:cs="仿宋"/>
                <w:sz w:val="24"/>
                <w:szCs w:val="24"/>
              </w:rPr>
            </w:pPr>
          </w:p>
        </w:tc>
      </w:tr>
      <w:tr w14:paraId="1B7D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777B63A8">
            <w:pPr>
              <w:autoSpaceDE w:val="0"/>
              <w:autoSpaceDN w:val="0"/>
              <w:adjustRightInd w:val="0"/>
              <w:spacing w:line="300" w:lineRule="exact"/>
              <w:jc w:val="center"/>
              <w:rPr>
                <w:rFonts w:hint="eastAsia" w:ascii="仿宋" w:hAnsi="仿宋" w:eastAsia="仿宋" w:cs="仿宋"/>
                <w:sz w:val="24"/>
                <w:szCs w:val="24"/>
              </w:rPr>
            </w:pPr>
            <w:r>
              <w:rPr>
                <w:rFonts w:hint="eastAsia" w:ascii="仿宋" w:hAnsi="仿宋" w:eastAsia="仿宋" w:cs="仿宋"/>
                <w:kern w:val="0"/>
                <w:sz w:val="24"/>
                <w:szCs w:val="24"/>
              </w:rPr>
              <w:t>发包人名称</w:t>
            </w:r>
          </w:p>
        </w:tc>
        <w:tc>
          <w:tcPr>
            <w:tcW w:w="6274" w:type="dxa"/>
            <w:vAlign w:val="center"/>
          </w:tcPr>
          <w:p w14:paraId="0A1E84D0">
            <w:pPr>
              <w:topLinePunct/>
              <w:spacing w:line="360" w:lineRule="auto"/>
              <w:rPr>
                <w:rFonts w:hint="eastAsia" w:ascii="仿宋" w:hAnsi="仿宋" w:eastAsia="仿宋" w:cs="仿宋"/>
                <w:sz w:val="24"/>
                <w:szCs w:val="24"/>
              </w:rPr>
            </w:pPr>
          </w:p>
        </w:tc>
      </w:tr>
      <w:tr w14:paraId="1C03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2F8EFDD7">
            <w:pPr>
              <w:autoSpaceDE w:val="0"/>
              <w:autoSpaceDN w:val="0"/>
              <w:adjustRightInd w:val="0"/>
              <w:spacing w:line="300" w:lineRule="exact"/>
              <w:jc w:val="center"/>
              <w:rPr>
                <w:rFonts w:hint="eastAsia" w:ascii="仿宋" w:hAnsi="仿宋" w:eastAsia="仿宋" w:cs="仿宋"/>
                <w:sz w:val="24"/>
                <w:szCs w:val="24"/>
              </w:rPr>
            </w:pPr>
            <w:r>
              <w:rPr>
                <w:rFonts w:hint="eastAsia" w:ascii="仿宋" w:hAnsi="仿宋" w:eastAsia="仿宋" w:cs="仿宋"/>
                <w:kern w:val="0"/>
                <w:sz w:val="24"/>
                <w:szCs w:val="24"/>
              </w:rPr>
              <w:t>发包人地址</w:t>
            </w:r>
          </w:p>
        </w:tc>
        <w:tc>
          <w:tcPr>
            <w:tcW w:w="6274" w:type="dxa"/>
            <w:vAlign w:val="center"/>
          </w:tcPr>
          <w:p w14:paraId="5A6A5515">
            <w:pPr>
              <w:topLinePunct/>
              <w:spacing w:line="360" w:lineRule="auto"/>
              <w:rPr>
                <w:rFonts w:hint="eastAsia" w:ascii="仿宋" w:hAnsi="仿宋" w:eastAsia="仿宋" w:cs="仿宋"/>
                <w:sz w:val="24"/>
                <w:szCs w:val="24"/>
              </w:rPr>
            </w:pPr>
          </w:p>
        </w:tc>
      </w:tr>
      <w:tr w14:paraId="4829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4D77FE51">
            <w:pPr>
              <w:autoSpaceDE w:val="0"/>
              <w:autoSpaceDN w:val="0"/>
              <w:adjustRightInd w:val="0"/>
              <w:spacing w:line="300" w:lineRule="exact"/>
              <w:jc w:val="center"/>
              <w:rPr>
                <w:rFonts w:hint="eastAsia" w:ascii="仿宋" w:hAnsi="仿宋" w:eastAsia="仿宋" w:cs="仿宋"/>
                <w:sz w:val="24"/>
                <w:szCs w:val="24"/>
              </w:rPr>
            </w:pPr>
            <w:r>
              <w:rPr>
                <w:rFonts w:hint="eastAsia" w:ascii="仿宋" w:hAnsi="仿宋" w:eastAsia="仿宋" w:cs="仿宋"/>
                <w:kern w:val="0"/>
                <w:sz w:val="24"/>
                <w:szCs w:val="24"/>
              </w:rPr>
              <w:t>发包人电话</w:t>
            </w:r>
          </w:p>
        </w:tc>
        <w:tc>
          <w:tcPr>
            <w:tcW w:w="6274" w:type="dxa"/>
            <w:vAlign w:val="center"/>
          </w:tcPr>
          <w:p w14:paraId="2470E4AB">
            <w:pPr>
              <w:topLinePunct/>
              <w:spacing w:line="360" w:lineRule="auto"/>
              <w:rPr>
                <w:rFonts w:hint="eastAsia" w:ascii="仿宋" w:hAnsi="仿宋" w:eastAsia="仿宋" w:cs="仿宋"/>
                <w:sz w:val="24"/>
                <w:szCs w:val="24"/>
              </w:rPr>
            </w:pPr>
          </w:p>
        </w:tc>
      </w:tr>
      <w:tr w14:paraId="7881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38048D83">
            <w:pPr>
              <w:autoSpaceDE w:val="0"/>
              <w:autoSpaceDN w:val="0"/>
              <w:adjustRightInd w:val="0"/>
              <w:spacing w:line="300" w:lineRule="exact"/>
              <w:jc w:val="center"/>
              <w:rPr>
                <w:rFonts w:hint="eastAsia" w:ascii="仿宋" w:hAnsi="仿宋" w:eastAsia="仿宋" w:cs="仿宋"/>
                <w:sz w:val="24"/>
                <w:szCs w:val="24"/>
              </w:rPr>
            </w:pPr>
            <w:r>
              <w:rPr>
                <w:rFonts w:hint="eastAsia" w:ascii="仿宋" w:hAnsi="仿宋" w:eastAsia="仿宋" w:cs="仿宋"/>
                <w:kern w:val="0"/>
                <w:sz w:val="24"/>
                <w:szCs w:val="24"/>
              </w:rPr>
              <w:t>合同价格</w:t>
            </w:r>
          </w:p>
        </w:tc>
        <w:tc>
          <w:tcPr>
            <w:tcW w:w="6274" w:type="dxa"/>
            <w:vAlign w:val="center"/>
          </w:tcPr>
          <w:p w14:paraId="0351BECE">
            <w:pPr>
              <w:topLinePunct/>
              <w:spacing w:line="360" w:lineRule="auto"/>
              <w:rPr>
                <w:rFonts w:hint="eastAsia" w:ascii="仿宋" w:hAnsi="仿宋" w:eastAsia="仿宋" w:cs="仿宋"/>
                <w:sz w:val="24"/>
                <w:szCs w:val="24"/>
              </w:rPr>
            </w:pPr>
          </w:p>
        </w:tc>
      </w:tr>
      <w:tr w14:paraId="250E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559BF9D7">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项目概况及履约情况</w:t>
            </w:r>
          </w:p>
        </w:tc>
        <w:tc>
          <w:tcPr>
            <w:tcW w:w="6274" w:type="dxa"/>
            <w:vAlign w:val="center"/>
          </w:tcPr>
          <w:p w14:paraId="3ED6A4F7">
            <w:pPr>
              <w:topLinePunct/>
              <w:spacing w:line="360" w:lineRule="auto"/>
              <w:rPr>
                <w:rFonts w:hint="eastAsia" w:ascii="仿宋" w:hAnsi="仿宋" w:eastAsia="仿宋" w:cs="仿宋"/>
                <w:sz w:val="24"/>
                <w:szCs w:val="24"/>
              </w:rPr>
            </w:pPr>
          </w:p>
          <w:p w14:paraId="52A6BD47">
            <w:pPr>
              <w:topLinePunct/>
              <w:spacing w:line="360" w:lineRule="auto"/>
              <w:rPr>
                <w:rFonts w:hint="eastAsia" w:ascii="仿宋" w:hAnsi="仿宋" w:eastAsia="仿宋" w:cs="仿宋"/>
                <w:sz w:val="24"/>
                <w:szCs w:val="24"/>
              </w:rPr>
            </w:pPr>
          </w:p>
          <w:p w14:paraId="16D4EB47">
            <w:pPr>
              <w:topLinePunct/>
              <w:spacing w:line="360" w:lineRule="auto"/>
              <w:rPr>
                <w:rFonts w:hint="eastAsia" w:ascii="仿宋" w:hAnsi="仿宋" w:eastAsia="仿宋" w:cs="仿宋"/>
                <w:sz w:val="24"/>
                <w:szCs w:val="24"/>
              </w:rPr>
            </w:pPr>
          </w:p>
          <w:p w14:paraId="7E93BF00">
            <w:pPr>
              <w:topLinePunct/>
              <w:spacing w:line="360" w:lineRule="auto"/>
              <w:rPr>
                <w:rFonts w:hint="eastAsia" w:ascii="仿宋" w:hAnsi="仿宋" w:eastAsia="仿宋" w:cs="仿宋"/>
                <w:sz w:val="24"/>
                <w:szCs w:val="24"/>
              </w:rPr>
            </w:pPr>
          </w:p>
          <w:p w14:paraId="59D47CDD">
            <w:pPr>
              <w:topLinePunct/>
              <w:spacing w:line="360" w:lineRule="auto"/>
              <w:rPr>
                <w:rFonts w:hint="eastAsia" w:ascii="仿宋" w:hAnsi="仿宋" w:eastAsia="仿宋" w:cs="仿宋"/>
                <w:sz w:val="24"/>
                <w:szCs w:val="24"/>
              </w:rPr>
            </w:pPr>
          </w:p>
          <w:p w14:paraId="00194055">
            <w:pPr>
              <w:topLinePunct/>
              <w:spacing w:line="360" w:lineRule="auto"/>
              <w:rPr>
                <w:rFonts w:hint="eastAsia" w:ascii="仿宋" w:hAnsi="仿宋" w:eastAsia="仿宋" w:cs="仿宋"/>
                <w:sz w:val="24"/>
                <w:szCs w:val="24"/>
              </w:rPr>
            </w:pPr>
          </w:p>
          <w:p w14:paraId="018F638E">
            <w:pPr>
              <w:topLinePunct/>
              <w:spacing w:line="360" w:lineRule="auto"/>
              <w:rPr>
                <w:rFonts w:hint="eastAsia" w:ascii="仿宋" w:hAnsi="仿宋" w:eastAsia="仿宋" w:cs="仿宋"/>
                <w:sz w:val="24"/>
                <w:szCs w:val="24"/>
              </w:rPr>
            </w:pPr>
          </w:p>
        </w:tc>
      </w:tr>
      <w:tr w14:paraId="0679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4F763361">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c>
          <w:tcPr>
            <w:tcW w:w="6274" w:type="dxa"/>
            <w:vAlign w:val="center"/>
          </w:tcPr>
          <w:p w14:paraId="46BB3260">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资格审查业绩/商务评分业绩</w:t>
            </w:r>
          </w:p>
        </w:tc>
      </w:tr>
    </w:tbl>
    <w:p w14:paraId="3A65F1FC">
      <w:pPr>
        <w:spacing w:line="440" w:lineRule="exact"/>
        <w:rPr>
          <w:rFonts w:hint="eastAsia" w:ascii="仿宋" w:hAnsi="仿宋" w:eastAsia="仿宋" w:cs="仿宋"/>
          <w:sz w:val="24"/>
          <w:szCs w:val="24"/>
        </w:rPr>
      </w:pPr>
      <w:r>
        <w:rPr>
          <w:rFonts w:hint="eastAsia" w:ascii="仿宋" w:hAnsi="仿宋" w:eastAsia="仿宋" w:cs="仿宋"/>
          <w:sz w:val="24"/>
          <w:szCs w:val="24"/>
        </w:rPr>
        <w:t>注：供应商应根据询比文件要求在本表后附相关证明材料。</w:t>
      </w:r>
    </w:p>
    <w:p w14:paraId="0384DC73">
      <w:pPr>
        <w:spacing w:line="440" w:lineRule="exact"/>
        <w:rPr>
          <w:rFonts w:hint="eastAsia" w:ascii="仿宋" w:hAnsi="仿宋" w:eastAsia="仿宋" w:cs="仿宋"/>
        </w:rPr>
      </w:pPr>
      <w:r>
        <w:rPr>
          <w:rFonts w:hint="eastAsia" w:ascii="仿宋" w:hAnsi="仿宋" w:eastAsia="仿宋" w:cs="仿宋"/>
        </w:rPr>
        <w:br w:type="page"/>
      </w:r>
    </w:p>
    <w:p w14:paraId="51ECB910">
      <w:pPr>
        <w:pStyle w:val="4"/>
        <w:ind w:firstLine="137"/>
        <w:jc w:val="center"/>
        <w:rPr>
          <w:rFonts w:hint="eastAsia" w:ascii="仿宋" w:hAnsi="仿宋" w:eastAsia="仿宋" w:cs="仿宋"/>
        </w:rPr>
      </w:pPr>
      <w:bookmarkStart w:id="502" w:name="_Toc196323500"/>
      <w:bookmarkStart w:id="503" w:name="_Toc9946"/>
      <w:bookmarkStart w:id="504" w:name="_Toc4861"/>
      <w:bookmarkStart w:id="505" w:name="_Toc28700"/>
      <w:r>
        <w:rPr>
          <w:rFonts w:hint="eastAsia" w:ascii="仿宋" w:hAnsi="仿宋" w:eastAsia="仿宋" w:cs="仿宋"/>
        </w:rPr>
        <w:t>（五）</w:t>
      </w:r>
      <w:r>
        <w:rPr>
          <w:rFonts w:hint="eastAsia" w:ascii="仿宋" w:hAnsi="仿宋" w:eastAsia="仿宋" w:cs="仿宋"/>
          <w:bCs/>
        </w:rPr>
        <w:t>供应商信誉情况</w:t>
      </w:r>
      <w:r>
        <w:rPr>
          <w:rFonts w:hint="eastAsia" w:ascii="仿宋" w:hAnsi="仿宋" w:eastAsia="仿宋" w:cs="仿宋"/>
        </w:rPr>
        <w:t>诚信响应承诺书</w:t>
      </w:r>
      <w:bookmarkEnd w:id="502"/>
      <w:bookmarkEnd w:id="503"/>
      <w:bookmarkEnd w:id="504"/>
      <w:bookmarkEnd w:id="505"/>
    </w:p>
    <w:p w14:paraId="49FF2FF1">
      <w:pPr>
        <w:spacing w:line="360" w:lineRule="auto"/>
        <w:rPr>
          <w:rFonts w:hint="eastAsia" w:ascii="仿宋" w:hAnsi="仿宋" w:eastAsia="仿宋" w:cs="仿宋"/>
          <w:sz w:val="24"/>
          <w:szCs w:val="24"/>
        </w:rPr>
      </w:pPr>
      <w:r>
        <w:rPr>
          <w:rFonts w:hint="eastAsia" w:ascii="仿宋" w:hAnsi="仿宋" w:eastAsia="仿宋" w:cs="仿宋"/>
          <w:bCs/>
          <w:sz w:val="24"/>
          <w:szCs w:val="24"/>
          <w:u w:val="single"/>
        </w:rPr>
        <w:t>致：（采购人）</w:t>
      </w:r>
    </w:p>
    <w:p w14:paraId="235C5C30">
      <w:pPr>
        <w:spacing w:before="240" w:beforeLines="100" w:line="360" w:lineRule="auto"/>
        <w:rPr>
          <w:rFonts w:hint="eastAsia" w:ascii="仿宋" w:hAnsi="仿宋" w:eastAsia="仿宋" w:cs="仿宋"/>
          <w:sz w:val="24"/>
          <w:szCs w:val="24"/>
        </w:rPr>
      </w:pPr>
      <w:r>
        <w:rPr>
          <w:rFonts w:hint="eastAsia" w:ascii="仿宋" w:hAnsi="仿宋" w:eastAsia="仿宋" w:cs="仿宋"/>
          <w:sz w:val="24"/>
          <w:szCs w:val="24"/>
        </w:rPr>
        <w:t>我公司郑重承诺：</w:t>
      </w:r>
    </w:p>
    <w:p w14:paraId="0F5F1001">
      <w:pPr>
        <w:spacing w:before="240" w:beforeLines="10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1.遵循公开、公正和诚实信用的原则自愿参加</w:t>
      </w:r>
      <w:r>
        <w:rPr>
          <w:rFonts w:hint="eastAsia" w:ascii="仿宋" w:hAnsi="仿宋" w:eastAsia="仿宋" w:cs="仿宋"/>
          <w:sz w:val="24"/>
          <w:szCs w:val="24"/>
          <w:u w:val="single"/>
        </w:rPr>
        <w:t>（采购项目名称/采购项目编号）</w:t>
      </w:r>
      <w:r>
        <w:rPr>
          <w:rFonts w:hint="eastAsia" w:ascii="仿宋" w:hAnsi="仿宋" w:eastAsia="仿宋" w:cs="仿宋"/>
          <w:sz w:val="24"/>
          <w:szCs w:val="24"/>
        </w:rPr>
        <w:t xml:space="preserve"> 第</w:t>
      </w:r>
      <w:r>
        <w:rPr>
          <w:rFonts w:hint="eastAsia" w:ascii="仿宋" w:hAnsi="仿宋" w:eastAsia="仿宋" w:cs="仿宋"/>
          <w:sz w:val="24"/>
          <w:szCs w:val="24"/>
          <w:u w:val="single"/>
        </w:rPr>
        <w:t xml:space="preserve">   /   </w:t>
      </w:r>
      <w:r>
        <w:rPr>
          <w:rFonts w:hint="eastAsia" w:ascii="仿宋" w:hAnsi="仿宋" w:eastAsia="仿宋" w:cs="仿宋"/>
          <w:sz w:val="24"/>
          <w:szCs w:val="24"/>
        </w:rPr>
        <w:t>采购包的询比采购活动。</w:t>
      </w:r>
    </w:p>
    <w:p w14:paraId="569E864A">
      <w:pPr>
        <w:spacing w:before="240" w:beforeLines="10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2.本次响应提供的资质证书、业绩及奖项等一切材料均真实、有效、合法。</w:t>
      </w:r>
    </w:p>
    <w:p w14:paraId="132F9046">
      <w:pPr>
        <w:spacing w:before="240" w:beforeLines="10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3.本次响应为我公司自行参与询比采购活动，未出借、转让资质证书，未让他人挂靠参与询比采购活动。</w:t>
      </w:r>
    </w:p>
    <w:p w14:paraId="70BACCC8">
      <w:pPr>
        <w:spacing w:before="240" w:beforeLines="10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4.未与其他供应商相互串通响应报价，未排挤其他供应商的公平竞争、损害采购人的合法权益。</w:t>
      </w:r>
    </w:p>
    <w:p w14:paraId="24077D55">
      <w:pPr>
        <w:spacing w:before="240" w:beforeLines="10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5.未与采购人、询比代理机构或其他供应商串通询比响应，损害国家利益、社会公共利益或者他人的合法权益。</w:t>
      </w:r>
    </w:p>
    <w:p w14:paraId="7BA410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6.成交后按照合同约定履行义务，完成成交项目；不向他人转让成交项目，不将成交项目肢解后分别向他人转让；不违法分包。</w:t>
      </w:r>
    </w:p>
    <w:p w14:paraId="24908AC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如提出异议（投诉），对提供的异议（投诉）材料的真实性负责，不恶意异议（投诉）；不捏造事实、提供虚假材料或者以非法手段取得证明材料进行异议（投诉），影响交易活动正常进行；否则，我公司愿意接受交易监督管理部门作出的相关处理、处罚。</w:t>
      </w:r>
    </w:p>
    <w:p w14:paraId="32AFDF6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8.本次响应不存在第二章“供应商须知”第1.2.2项、第1.2.3项规定的任何一种情形。</w:t>
      </w:r>
    </w:p>
    <w:p w14:paraId="02B8BC63">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9.</w:t>
      </w:r>
      <w:r>
        <w:rPr>
          <w:rFonts w:hint="eastAsia" w:ascii="仿宋" w:hAnsi="仿宋" w:eastAsia="仿宋" w:cs="仿宋"/>
          <w:sz w:val="24"/>
          <w:szCs w:val="24"/>
          <w:u w:val="single"/>
        </w:rPr>
        <w:t xml:space="preserve">                    </w:t>
      </w:r>
      <w:r>
        <w:rPr>
          <w:rFonts w:hint="eastAsia" w:ascii="仿宋" w:hAnsi="仿宋" w:eastAsia="仿宋" w:cs="仿宋"/>
          <w:snapToGrid w:val="0"/>
          <w:sz w:val="24"/>
          <w:szCs w:val="24"/>
        </w:rPr>
        <w:t>（其他补充承诺）。</w:t>
      </w:r>
    </w:p>
    <w:p w14:paraId="6D418E6F">
      <w:pPr>
        <w:spacing w:line="360" w:lineRule="auto"/>
        <w:ind w:firstLine="480" w:firstLineChars="200"/>
        <w:rPr>
          <w:rFonts w:hint="eastAsia" w:ascii="仿宋" w:hAnsi="仿宋" w:eastAsia="仿宋" w:cs="仿宋"/>
          <w:sz w:val="24"/>
          <w:szCs w:val="24"/>
        </w:rPr>
      </w:pPr>
    </w:p>
    <w:p w14:paraId="47D4BAA4">
      <w:pPr>
        <w:spacing w:line="360" w:lineRule="auto"/>
        <w:ind w:firstLine="480" w:firstLineChars="200"/>
        <w:rPr>
          <w:rFonts w:hint="eastAsia" w:ascii="仿宋" w:hAnsi="仿宋" w:eastAsia="仿宋" w:cs="仿宋"/>
          <w:sz w:val="24"/>
          <w:szCs w:val="24"/>
        </w:rPr>
      </w:pPr>
    </w:p>
    <w:p w14:paraId="347E98CE">
      <w:pPr>
        <w:spacing w:line="440" w:lineRule="exact"/>
        <w:ind w:firstLine="1680" w:firstLineChars="700"/>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14:paraId="1A16EC3D">
      <w:pPr>
        <w:spacing w:line="440" w:lineRule="exact"/>
        <w:ind w:firstLine="1680" w:firstLineChars="700"/>
        <w:jc w:val="left"/>
        <w:rPr>
          <w:rFonts w:hint="eastAsia" w:ascii="仿宋" w:hAnsi="仿宋" w:eastAsia="仿宋" w:cs="仿宋"/>
          <w:sz w:val="24"/>
          <w:szCs w:val="24"/>
        </w:rPr>
      </w:pPr>
      <w:r>
        <w:rPr>
          <w:rFonts w:hint="eastAsia" w:ascii="仿宋" w:hAnsi="仿宋" w:eastAsia="仿宋" w:cs="仿宋"/>
          <w:sz w:val="24"/>
          <w:szCs w:val="24"/>
        </w:rPr>
        <w:t>法定代表人（单位负责人）或委托代理人：</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42D27494">
      <w:pPr>
        <w:spacing w:line="440" w:lineRule="exact"/>
        <w:ind w:firstLine="1680" w:firstLineChars="7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14:paraId="0CAADCDC">
      <w:pPr>
        <w:spacing w:line="440" w:lineRule="exact"/>
        <w:ind w:firstLine="3076" w:firstLineChars="1282"/>
        <w:rPr>
          <w:rFonts w:hint="eastAsia" w:ascii="仿宋" w:hAnsi="仿宋" w:eastAsia="仿宋" w:cs="仿宋"/>
          <w:sz w:val="24"/>
          <w:szCs w:val="24"/>
        </w:rPr>
      </w:pPr>
    </w:p>
    <w:p w14:paraId="401F8470">
      <w:pPr>
        <w:adjustRightInd w:val="0"/>
        <w:snapToGrid w:val="0"/>
        <w:spacing w:line="360" w:lineRule="auto"/>
        <w:jc w:val="right"/>
        <w:rPr>
          <w:rFonts w:hint="eastAsia" w:ascii="仿宋" w:hAnsi="仿宋" w:eastAsia="仿宋" w:cs="仿宋"/>
          <w:sz w:val="24"/>
          <w:szCs w:val="24"/>
        </w:rPr>
      </w:pPr>
      <w:r>
        <w:rPr>
          <w:rFonts w:hint="eastAsia" w:ascii="仿宋" w:hAnsi="仿宋" w:eastAsia="仿宋" w:cs="仿宋"/>
          <w:sz w:val="24"/>
          <w:szCs w:val="24"/>
        </w:rPr>
        <w:t>年    月    日</w:t>
      </w:r>
    </w:p>
    <w:p w14:paraId="649A963F">
      <w:pPr>
        <w:keepNext/>
        <w:keepLines/>
        <w:spacing w:line="413" w:lineRule="auto"/>
        <w:ind w:firstLine="137"/>
        <w:jc w:val="center"/>
        <w:rPr>
          <w:rFonts w:hint="eastAsia" w:ascii="仿宋" w:hAnsi="仿宋" w:eastAsia="仿宋" w:cs="仿宋"/>
        </w:rPr>
      </w:pPr>
      <w:bookmarkStart w:id="506" w:name="_Toc15619"/>
      <w:bookmarkStart w:id="507" w:name="_Toc196323501"/>
    </w:p>
    <w:p w14:paraId="44875AA8">
      <w:pPr>
        <w:keepNext/>
        <w:keepLines/>
        <w:spacing w:line="413" w:lineRule="auto"/>
        <w:ind w:firstLine="137"/>
        <w:jc w:val="center"/>
        <w:rPr>
          <w:rFonts w:hint="eastAsia" w:ascii="仿宋" w:hAnsi="仿宋" w:eastAsia="仿宋" w:cs="仿宋"/>
        </w:rPr>
      </w:pPr>
    </w:p>
    <w:p w14:paraId="011A1D5E">
      <w:pPr>
        <w:pStyle w:val="4"/>
        <w:ind w:firstLine="137"/>
        <w:jc w:val="center"/>
        <w:rPr>
          <w:rFonts w:hint="eastAsia" w:ascii="仿宋" w:hAnsi="仿宋" w:eastAsia="仿宋" w:cs="仿宋"/>
        </w:rPr>
      </w:pPr>
      <w:r>
        <w:rPr>
          <w:rFonts w:hint="eastAsia" w:ascii="仿宋" w:hAnsi="仿宋" w:eastAsia="仿宋" w:cs="仿宋"/>
        </w:rPr>
        <w:t>（六）资格审查其他材料</w:t>
      </w:r>
      <w:bookmarkEnd w:id="506"/>
      <w:bookmarkEnd w:id="507"/>
    </w:p>
    <w:p w14:paraId="54D48D1D">
      <w:pPr>
        <w:jc w:val="center"/>
      </w:pPr>
      <w:r>
        <w:t>（如有）</w:t>
      </w:r>
    </w:p>
    <w:p w14:paraId="13BC8898">
      <w:pPr>
        <w:widowControl/>
        <w:jc w:val="left"/>
        <w:rPr>
          <w:rFonts w:hint="eastAsia" w:ascii="仿宋" w:hAnsi="仿宋" w:eastAsia="仿宋" w:cs="仿宋"/>
          <w:sz w:val="28"/>
          <w:szCs w:val="20"/>
        </w:rPr>
      </w:pPr>
      <w:r>
        <w:rPr>
          <w:rFonts w:ascii="仿宋" w:hAnsi="仿宋" w:eastAsia="仿宋" w:cs="仿宋"/>
        </w:rPr>
        <w:br w:type="page"/>
      </w:r>
    </w:p>
    <w:bookmarkEnd w:id="481"/>
    <w:bookmarkEnd w:id="482"/>
    <w:p w14:paraId="415DCA09">
      <w:pPr>
        <w:pStyle w:val="3"/>
        <w:spacing w:line="400" w:lineRule="exact"/>
        <w:jc w:val="center"/>
        <w:rPr>
          <w:rFonts w:hint="eastAsia" w:ascii="仿宋" w:hAnsi="仿宋" w:eastAsia="仿宋" w:cs="仿宋"/>
        </w:rPr>
      </w:pPr>
      <w:bookmarkStart w:id="508" w:name="_Toc4956"/>
      <w:bookmarkStart w:id="509" w:name="_Toc10061"/>
      <w:bookmarkStart w:id="510" w:name="_Toc501460803"/>
      <w:r>
        <w:rPr>
          <w:rFonts w:hint="eastAsia" w:ascii="仿宋" w:hAnsi="仿宋" w:eastAsia="仿宋" w:cs="仿宋"/>
        </w:rPr>
        <w:t>八、</w:t>
      </w:r>
      <w:bookmarkEnd w:id="508"/>
      <w:r>
        <w:rPr>
          <w:rFonts w:hint="eastAsia" w:ascii="仿宋" w:hAnsi="仿宋" w:eastAsia="仿宋" w:cs="仿宋"/>
        </w:rPr>
        <w:t>服务方案</w:t>
      </w:r>
      <w:bookmarkEnd w:id="509"/>
    </w:p>
    <w:bookmarkEnd w:id="510"/>
    <w:p w14:paraId="096598E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格式自拟</w:t>
      </w:r>
    </w:p>
    <w:p w14:paraId="0BFDD889">
      <w:pPr>
        <w:spacing w:line="400" w:lineRule="exact"/>
        <w:ind w:firstLine="420" w:firstLineChars="200"/>
        <w:rPr>
          <w:rFonts w:hint="eastAsia" w:ascii="仿宋" w:hAnsi="仿宋" w:eastAsia="仿宋" w:cs="仿宋"/>
        </w:rPr>
      </w:pPr>
    </w:p>
    <w:p w14:paraId="130D9A53">
      <w:pPr>
        <w:pStyle w:val="3"/>
        <w:spacing w:line="400" w:lineRule="exact"/>
        <w:jc w:val="center"/>
        <w:rPr>
          <w:rFonts w:hint="eastAsia" w:ascii="仿宋" w:hAnsi="仿宋" w:eastAsia="仿宋" w:cs="仿宋"/>
        </w:rPr>
      </w:pPr>
      <w:bookmarkStart w:id="511" w:name="_Toc1773"/>
      <w:bookmarkStart w:id="512" w:name="_Toc611"/>
      <w:r>
        <w:rPr>
          <w:rFonts w:hint="eastAsia" w:ascii="仿宋" w:hAnsi="仿宋" w:eastAsia="仿宋" w:cs="仿宋"/>
        </w:rPr>
        <w:t>九、其他资料</w:t>
      </w:r>
      <w:bookmarkEnd w:id="511"/>
      <w:bookmarkEnd w:id="512"/>
    </w:p>
    <w:p w14:paraId="161BFB3C">
      <w:pPr>
        <w:rPr>
          <w:rFonts w:hint="eastAsia" w:ascii="仿宋" w:hAnsi="仿宋" w:eastAsia="仿宋" w:cs="仿宋"/>
        </w:rPr>
      </w:pPr>
    </w:p>
    <w:p w14:paraId="76415487">
      <w:pPr>
        <w:pStyle w:val="11"/>
        <w:jc w:val="center"/>
        <w:rPr>
          <w:rFonts w:hint="eastAsia" w:ascii="仿宋" w:hAnsi="仿宋" w:eastAsia="仿宋" w:cs="仿宋"/>
        </w:rPr>
      </w:pPr>
      <w:r>
        <w:rPr>
          <w:rFonts w:hint="eastAsia" w:ascii="仿宋" w:hAnsi="仿宋" w:eastAsia="仿宋" w:cs="仿宋"/>
        </w:rPr>
        <w:t>供应商需递交的其他资料。</w:t>
      </w:r>
    </w:p>
    <w:p w14:paraId="0681C5BA">
      <w:pPr>
        <w:pStyle w:val="11"/>
        <w:rPr>
          <w:rFonts w:hint="eastAsia" w:ascii="仿宋" w:hAnsi="仿宋" w:eastAsia="仿宋" w:cs="仿宋"/>
        </w:rPr>
      </w:pPr>
    </w:p>
    <w:sectPr>
      <w:type w:val="continuous"/>
      <w:pgSz w:w="12240" w:h="15840"/>
      <w:pgMar w:top="1440" w:right="1803" w:bottom="1440" w:left="1803"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B01B">
    <w:pPr>
      <w:pStyle w:val="20"/>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10A19"/>
    <w:multiLevelType w:val="singleLevel"/>
    <w:tmpl w:val="9D610A19"/>
    <w:lvl w:ilvl="0" w:tentative="0">
      <w:start w:val="4"/>
      <w:numFmt w:val="chineseCounting"/>
      <w:suff w:val="nothing"/>
      <w:lvlText w:val="（%1）"/>
      <w:lvlJc w:val="left"/>
      <w:rPr>
        <w:rFonts w:hint="eastAsia"/>
      </w:rPr>
    </w:lvl>
  </w:abstractNum>
  <w:abstractNum w:abstractNumId="1">
    <w:nsid w:val="E7B557A2"/>
    <w:multiLevelType w:val="singleLevel"/>
    <w:tmpl w:val="E7B557A2"/>
    <w:lvl w:ilvl="0" w:tentative="0">
      <w:start w:val="1"/>
      <w:numFmt w:val="decimal"/>
      <w:suff w:val="nothing"/>
      <w:lvlText w:val="%1．"/>
      <w:lvlJc w:val="left"/>
    </w:lvl>
  </w:abstractNum>
  <w:abstractNum w:abstractNumId="2">
    <w:nsid w:val="10943386"/>
    <w:multiLevelType w:val="multilevel"/>
    <w:tmpl w:val="10943386"/>
    <w:lvl w:ilvl="0" w:tentative="0">
      <w:start w:val="1"/>
      <w:numFmt w:val="chineseCounting"/>
      <w:suff w:val="nothing"/>
      <w:lvlText w:val="%1、"/>
      <w:lvlJc w:val="left"/>
      <w:pPr>
        <w:ind w:left="0" w:firstLine="0"/>
      </w:pPr>
      <w:rPr>
        <w:color w:val="00000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7766BAB"/>
    <w:multiLevelType w:val="multilevel"/>
    <w:tmpl w:val="67766BAB"/>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Y2I3NzUxZTM2NjA4ZjVlM2UzYTExYjJlYjYxMmMifQ=="/>
  </w:docVars>
  <w:rsids>
    <w:rsidRoot w:val="00172A27"/>
    <w:rsid w:val="00000DA4"/>
    <w:rsid w:val="00002A60"/>
    <w:rsid w:val="00003391"/>
    <w:rsid w:val="00004603"/>
    <w:rsid w:val="000049FE"/>
    <w:rsid w:val="00007319"/>
    <w:rsid w:val="000106AE"/>
    <w:rsid w:val="000107B5"/>
    <w:rsid w:val="00010B53"/>
    <w:rsid w:val="0001111F"/>
    <w:rsid w:val="00011B6F"/>
    <w:rsid w:val="00011F85"/>
    <w:rsid w:val="000122C9"/>
    <w:rsid w:val="00012703"/>
    <w:rsid w:val="0001485E"/>
    <w:rsid w:val="00014D4E"/>
    <w:rsid w:val="0002193F"/>
    <w:rsid w:val="00021BFE"/>
    <w:rsid w:val="0002369F"/>
    <w:rsid w:val="000250D6"/>
    <w:rsid w:val="00025ACC"/>
    <w:rsid w:val="00025EC4"/>
    <w:rsid w:val="00026171"/>
    <w:rsid w:val="00027C97"/>
    <w:rsid w:val="000303E1"/>
    <w:rsid w:val="000317DA"/>
    <w:rsid w:val="00033530"/>
    <w:rsid w:val="00033C1C"/>
    <w:rsid w:val="00033D31"/>
    <w:rsid w:val="000351AE"/>
    <w:rsid w:val="000352F4"/>
    <w:rsid w:val="00036515"/>
    <w:rsid w:val="00036A67"/>
    <w:rsid w:val="00043778"/>
    <w:rsid w:val="00043A3B"/>
    <w:rsid w:val="00043D32"/>
    <w:rsid w:val="000442E6"/>
    <w:rsid w:val="000465F5"/>
    <w:rsid w:val="00046F0D"/>
    <w:rsid w:val="000477B3"/>
    <w:rsid w:val="0004782B"/>
    <w:rsid w:val="00050340"/>
    <w:rsid w:val="00050D09"/>
    <w:rsid w:val="00051718"/>
    <w:rsid w:val="00051E22"/>
    <w:rsid w:val="000533D5"/>
    <w:rsid w:val="0005363D"/>
    <w:rsid w:val="00054896"/>
    <w:rsid w:val="00056461"/>
    <w:rsid w:val="00056867"/>
    <w:rsid w:val="00060236"/>
    <w:rsid w:val="00060C84"/>
    <w:rsid w:val="00062AC6"/>
    <w:rsid w:val="00062E7E"/>
    <w:rsid w:val="000641E4"/>
    <w:rsid w:val="00067035"/>
    <w:rsid w:val="00067D78"/>
    <w:rsid w:val="0007092F"/>
    <w:rsid w:val="00071FA8"/>
    <w:rsid w:val="0007517C"/>
    <w:rsid w:val="0008132B"/>
    <w:rsid w:val="00081360"/>
    <w:rsid w:val="0008253E"/>
    <w:rsid w:val="00082731"/>
    <w:rsid w:val="00083B57"/>
    <w:rsid w:val="00083EA3"/>
    <w:rsid w:val="000841EF"/>
    <w:rsid w:val="000846D4"/>
    <w:rsid w:val="00086570"/>
    <w:rsid w:val="0008782A"/>
    <w:rsid w:val="000943B0"/>
    <w:rsid w:val="000945DD"/>
    <w:rsid w:val="00094C66"/>
    <w:rsid w:val="00094FFC"/>
    <w:rsid w:val="000956C5"/>
    <w:rsid w:val="0009599B"/>
    <w:rsid w:val="00095A6B"/>
    <w:rsid w:val="000A1201"/>
    <w:rsid w:val="000A1391"/>
    <w:rsid w:val="000A287B"/>
    <w:rsid w:val="000A29B2"/>
    <w:rsid w:val="000A2A1A"/>
    <w:rsid w:val="000A4347"/>
    <w:rsid w:val="000A5C81"/>
    <w:rsid w:val="000A6F04"/>
    <w:rsid w:val="000A7438"/>
    <w:rsid w:val="000A76B3"/>
    <w:rsid w:val="000B1DC9"/>
    <w:rsid w:val="000B2017"/>
    <w:rsid w:val="000B308D"/>
    <w:rsid w:val="000B37D6"/>
    <w:rsid w:val="000B6297"/>
    <w:rsid w:val="000B65E2"/>
    <w:rsid w:val="000B7A8D"/>
    <w:rsid w:val="000C0018"/>
    <w:rsid w:val="000C00CE"/>
    <w:rsid w:val="000C07EC"/>
    <w:rsid w:val="000C0819"/>
    <w:rsid w:val="000C1A9B"/>
    <w:rsid w:val="000C2AB5"/>
    <w:rsid w:val="000C4710"/>
    <w:rsid w:val="000C5A9F"/>
    <w:rsid w:val="000C74C7"/>
    <w:rsid w:val="000D174A"/>
    <w:rsid w:val="000D3A5C"/>
    <w:rsid w:val="000D4336"/>
    <w:rsid w:val="000D49B4"/>
    <w:rsid w:val="000D4E08"/>
    <w:rsid w:val="000D5B67"/>
    <w:rsid w:val="000D633A"/>
    <w:rsid w:val="000D6BE3"/>
    <w:rsid w:val="000E08CB"/>
    <w:rsid w:val="000E0C9F"/>
    <w:rsid w:val="000E1388"/>
    <w:rsid w:val="000E34A5"/>
    <w:rsid w:val="000E5673"/>
    <w:rsid w:val="000F2186"/>
    <w:rsid w:val="000F2A12"/>
    <w:rsid w:val="000F2ECC"/>
    <w:rsid w:val="000F50B4"/>
    <w:rsid w:val="000F6666"/>
    <w:rsid w:val="001001A3"/>
    <w:rsid w:val="001011FC"/>
    <w:rsid w:val="00102618"/>
    <w:rsid w:val="00105423"/>
    <w:rsid w:val="00105B4A"/>
    <w:rsid w:val="00107C36"/>
    <w:rsid w:val="001119B6"/>
    <w:rsid w:val="00111D77"/>
    <w:rsid w:val="00112693"/>
    <w:rsid w:val="00114EFC"/>
    <w:rsid w:val="00115124"/>
    <w:rsid w:val="00115848"/>
    <w:rsid w:val="0011701D"/>
    <w:rsid w:val="00117443"/>
    <w:rsid w:val="00117F0F"/>
    <w:rsid w:val="001243AF"/>
    <w:rsid w:val="00126A2D"/>
    <w:rsid w:val="00130D79"/>
    <w:rsid w:val="0013146C"/>
    <w:rsid w:val="0013274D"/>
    <w:rsid w:val="001351ED"/>
    <w:rsid w:val="00140642"/>
    <w:rsid w:val="0014098E"/>
    <w:rsid w:val="00143135"/>
    <w:rsid w:val="00145E35"/>
    <w:rsid w:val="001475DD"/>
    <w:rsid w:val="001528CC"/>
    <w:rsid w:val="001530C6"/>
    <w:rsid w:val="00153B32"/>
    <w:rsid w:val="0015590F"/>
    <w:rsid w:val="00157311"/>
    <w:rsid w:val="0016040A"/>
    <w:rsid w:val="001605AA"/>
    <w:rsid w:val="001613DD"/>
    <w:rsid w:val="001618B1"/>
    <w:rsid w:val="001658EF"/>
    <w:rsid w:val="00166088"/>
    <w:rsid w:val="00172A27"/>
    <w:rsid w:val="001735B4"/>
    <w:rsid w:val="001736AF"/>
    <w:rsid w:val="00173EF7"/>
    <w:rsid w:val="001748A3"/>
    <w:rsid w:val="00175F7A"/>
    <w:rsid w:val="00176B2B"/>
    <w:rsid w:val="00180101"/>
    <w:rsid w:val="00181DD1"/>
    <w:rsid w:val="00182B11"/>
    <w:rsid w:val="00183B4A"/>
    <w:rsid w:val="00184453"/>
    <w:rsid w:val="00184D80"/>
    <w:rsid w:val="00185763"/>
    <w:rsid w:val="00187716"/>
    <w:rsid w:val="00192979"/>
    <w:rsid w:val="00193C1D"/>
    <w:rsid w:val="00195B7E"/>
    <w:rsid w:val="001964D2"/>
    <w:rsid w:val="00196869"/>
    <w:rsid w:val="0019797B"/>
    <w:rsid w:val="00197AD8"/>
    <w:rsid w:val="001A093D"/>
    <w:rsid w:val="001A0CCF"/>
    <w:rsid w:val="001A18B7"/>
    <w:rsid w:val="001A1AF1"/>
    <w:rsid w:val="001A2B51"/>
    <w:rsid w:val="001A2E05"/>
    <w:rsid w:val="001A2F7E"/>
    <w:rsid w:val="001A4491"/>
    <w:rsid w:val="001A4684"/>
    <w:rsid w:val="001A6C4A"/>
    <w:rsid w:val="001B10BD"/>
    <w:rsid w:val="001B3592"/>
    <w:rsid w:val="001B7FEF"/>
    <w:rsid w:val="001C06B6"/>
    <w:rsid w:val="001C298A"/>
    <w:rsid w:val="001C29F9"/>
    <w:rsid w:val="001C30C7"/>
    <w:rsid w:val="001C38D5"/>
    <w:rsid w:val="001C3F83"/>
    <w:rsid w:val="001C47DE"/>
    <w:rsid w:val="001C6230"/>
    <w:rsid w:val="001C7366"/>
    <w:rsid w:val="001D055E"/>
    <w:rsid w:val="001D1D28"/>
    <w:rsid w:val="001D4A29"/>
    <w:rsid w:val="001E1433"/>
    <w:rsid w:val="001E2D03"/>
    <w:rsid w:val="001E48A1"/>
    <w:rsid w:val="001E6637"/>
    <w:rsid w:val="001F2208"/>
    <w:rsid w:val="001F4134"/>
    <w:rsid w:val="001F45EE"/>
    <w:rsid w:val="001F4850"/>
    <w:rsid w:val="001F5634"/>
    <w:rsid w:val="001F5A6B"/>
    <w:rsid w:val="00200B25"/>
    <w:rsid w:val="0020220D"/>
    <w:rsid w:val="00203A3E"/>
    <w:rsid w:val="00203C15"/>
    <w:rsid w:val="00204259"/>
    <w:rsid w:val="00204A5C"/>
    <w:rsid w:val="0020605E"/>
    <w:rsid w:val="00206463"/>
    <w:rsid w:val="00207A0B"/>
    <w:rsid w:val="00211842"/>
    <w:rsid w:val="002123AE"/>
    <w:rsid w:val="00212A53"/>
    <w:rsid w:val="0021322F"/>
    <w:rsid w:val="00213B90"/>
    <w:rsid w:val="00215765"/>
    <w:rsid w:val="00215AF0"/>
    <w:rsid w:val="00215BC7"/>
    <w:rsid w:val="00215D24"/>
    <w:rsid w:val="00217AB9"/>
    <w:rsid w:val="0022140E"/>
    <w:rsid w:val="002229E2"/>
    <w:rsid w:val="0022434B"/>
    <w:rsid w:val="002256F6"/>
    <w:rsid w:val="00227E7E"/>
    <w:rsid w:val="00230081"/>
    <w:rsid w:val="00232CDE"/>
    <w:rsid w:val="0023423F"/>
    <w:rsid w:val="002346AC"/>
    <w:rsid w:val="0023579F"/>
    <w:rsid w:val="002360E7"/>
    <w:rsid w:val="00236570"/>
    <w:rsid w:val="00237422"/>
    <w:rsid w:val="00237B0E"/>
    <w:rsid w:val="00240829"/>
    <w:rsid w:val="00240884"/>
    <w:rsid w:val="00241EE0"/>
    <w:rsid w:val="002430C2"/>
    <w:rsid w:val="0024468E"/>
    <w:rsid w:val="00246891"/>
    <w:rsid w:val="00250519"/>
    <w:rsid w:val="00251109"/>
    <w:rsid w:val="00251A49"/>
    <w:rsid w:val="002524EF"/>
    <w:rsid w:val="00252F2E"/>
    <w:rsid w:val="0025460A"/>
    <w:rsid w:val="00255C9B"/>
    <w:rsid w:val="00255D0D"/>
    <w:rsid w:val="00256F42"/>
    <w:rsid w:val="0026045C"/>
    <w:rsid w:val="00260650"/>
    <w:rsid w:val="00260B7B"/>
    <w:rsid w:val="00260C77"/>
    <w:rsid w:val="00261352"/>
    <w:rsid w:val="002617D5"/>
    <w:rsid w:val="002624FA"/>
    <w:rsid w:val="00263947"/>
    <w:rsid w:val="00263F0B"/>
    <w:rsid w:val="00264CEC"/>
    <w:rsid w:val="00264E3B"/>
    <w:rsid w:val="00264EB1"/>
    <w:rsid w:val="0026506C"/>
    <w:rsid w:val="0026524D"/>
    <w:rsid w:val="00265A8B"/>
    <w:rsid w:val="002707AB"/>
    <w:rsid w:val="0027148F"/>
    <w:rsid w:val="002718D2"/>
    <w:rsid w:val="002718DC"/>
    <w:rsid w:val="002733D4"/>
    <w:rsid w:val="00273E0A"/>
    <w:rsid w:val="002751CF"/>
    <w:rsid w:val="00276C71"/>
    <w:rsid w:val="0027764B"/>
    <w:rsid w:val="002811E1"/>
    <w:rsid w:val="00281526"/>
    <w:rsid w:val="00281E0E"/>
    <w:rsid w:val="00282FB1"/>
    <w:rsid w:val="00285406"/>
    <w:rsid w:val="00285F17"/>
    <w:rsid w:val="00286C1A"/>
    <w:rsid w:val="002871E7"/>
    <w:rsid w:val="00287666"/>
    <w:rsid w:val="00291BE9"/>
    <w:rsid w:val="0029287A"/>
    <w:rsid w:val="00294405"/>
    <w:rsid w:val="002A1233"/>
    <w:rsid w:val="002A552C"/>
    <w:rsid w:val="002A65ED"/>
    <w:rsid w:val="002A7990"/>
    <w:rsid w:val="002B0537"/>
    <w:rsid w:val="002B2D21"/>
    <w:rsid w:val="002B7AC0"/>
    <w:rsid w:val="002C0C29"/>
    <w:rsid w:val="002C4B9C"/>
    <w:rsid w:val="002C51BB"/>
    <w:rsid w:val="002C688F"/>
    <w:rsid w:val="002C76E7"/>
    <w:rsid w:val="002C7B9B"/>
    <w:rsid w:val="002C7BD6"/>
    <w:rsid w:val="002D0C72"/>
    <w:rsid w:val="002D2B90"/>
    <w:rsid w:val="002D3451"/>
    <w:rsid w:val="002D458D"/>
    <w:rsid w:val="002D460D"/>
    <w:rsid w:val="002D51F3"/>
    <w:rsid w:val="002D5BE4"/>
    <w:rsid w:val="002D6F32"/>
    <w:rsid w:val="002E0561"/>
    <w:rsid w:val="002E146B"/>
    <w:rsid w:val="002E1DAC"/>
    <w:rsid w:val="002E357F"/>
    <w:rsid w:val="002E37E9"/>
    <w:rsid w:val="002E602B"/>
    <w:rsid w:val="002E6D05"/>
    <w:rsid w:val="002F0F43"/>
    <w:rsid w:val="002F1898"/>
    <w:rsid w:val="002F1EE0"/>
    <w:rsid w:val="002F4E05"/>
    <w:rsid w:val="002F72A0"/>
    <w:rsid w:val="00302940"/>
    <w:rsid w:val="00303271"/>
    <w:rsid w:val="00303961"/>
    <w:rsid w:val="0030445C"/>
    <w:rsid w:val="00305F01"/>
    <w:rsid w:val="00306D86"/>
    <w:rsid w:val="00307657"/>
    <w:rsid w:val="003076D1"/>
    <w:rsid w:val="0031111C"/>
    <w:rsid w:val="00311324"/>
    <w:rsid w:val="00311D51"/>
    <w:rsid w:val="003122C4"/>
    <w:rsid w:val="00312B95"/>
    <w:rsid w:val="00314103"/>
    <w:rsid w:val="003147FA"/>
    <w:rsid w:val="00314C76"/>
    <w:rsid w:val="00316F8B"/>
    <w:rsid w:val="00317712"/>
    <w:rsid w:val="0032031D"/>
    <w:rsid w:val="00320467"/>
    <w:rsid w:val="00321647"/>
    <w:rsid w:val="00321989"/>
    <w:rsid w:val="003224DC"/>
    <w:rsid w:val="00322A9D"/>
    <w:rsid w:val="003243EC"/>
    <w:rsid w:val="003247CD"/>
    <w:rsid w:val="003254CF"/>
    <w:rsid w:val="00330A66"/>
    <w:rsid w:val="00332F9A"/>
    <w:rsid w:val="00335C80"/>
    <w:rsid w:val="003362AD"/>
    <w:rsid w:val="003369D4"/>
    <w:rsid w:val="0033761D"/>
    <w:rsid w:val="00337CAE"/>
    <w:rsid w:val="00341528"/>
    <w:rsid w:val="00342688"/>
    <w:rsid w:val="00343F9D"/>
    <w:rsid w:val="0034440E"/>
    <w:rsid w:val="003447B0"/>
    <w:rsid w:val="00345CFE"/>
    <w:rsid w:val="003467E6"/>
    <w:rsid w:val="00347899"/>
    <w:rsid w:val="003478BA"/>
    <w:rsid w:val="003518D6"/>
    <w:rsid w:val="003533B0"/>
    <w:rsid w:val="00354B7A"/>
    <w:rsid w:val="0035511B"/>
    <w:rsid w:val="003560B8"/>
    <w:rsid w:val="00360B10"/>
    <w:rsid w:val="00360D54"/>
    <w:rsid w:val="00361C71"/>
    <w:rsid w:val="0036214F"/>
    <w:rsid w:val="003628CD"/>
    <w:rsid w:val="00363177"/>
    <w:rsid w:val="00363966"/>
    <w:rsid w:val="00365EDA"/>
    <w:rsid w:val="00366867"/>
    <w:rsid w:val="00372B60"/>
    <w:rsid w:val="00372BB2"/>
    <w:rsid w:val="00373178"/>
    <w:rsid w:val="00373AAA"/>
    <w:rsid w:val="003741B0"/>
    <w:rsid w:val="00375DD7"/>
    <w:rsid w:val="0038072B"/>
    <w:rsid w:val="0038240C"/>
    <w:rsid w:val="0038359A"/>
    <w:rsid w:val="003839BF"/>
    <w:rsid w:val="0038704D"/>
    <w:rsid w:val="003876BB"/>
    <w:rsid w:val="00387996"/>
    <w:rsid w:val="00390CD0"/>
    <w:rsid w:val="00391F03"/>
    <w:rsid w:val="0039343C"/>
    <w:rsid w:val="003963E3"/>
    <w:rsid w:val="003A0068"/>
    <w:rsid w:val="003A2368"/>
    <w:rsid w:val="003A3829"/>
    <w:rsid w:val="003A3F98"/>
    <w:rsid w:val="003A563B"/>
    <w:rsid w:val="003A5B10"/>
    <w:rsid w:val="003A6775"/>
    <w:rsid w:val="003B2B82"/>
    <w:rsid w:val="003B3719"/>
    <w:rsid w:val="003B41C4"/>
    <w:rsid w:val="003B7DD1"/>
    <w:rsid w:val="003C0704"/>
    <w:rsid w:val="003C0D7D"/>
    <w:rsid w:val="003C163E"/>
    <w:rsid w:val="003C3469"/>
    <w:rsid w:val="003C4858"/>
    <w:rsid w:val="003C5BB3"/>
    <w:rsid w:val="003C5EED"/>
    <w:rsid w:val="003C663D"/>
    <w:rsid w:val="003C7688"/>
    <w:rsid w:val="003D1170"/>
    <w:rsid w:val="003D1B8E"/>
    <w:rsid w:val="003D2D72"/>
    <w:rsid w:val="003D36EE"/>
    <w:rsid w:val="003D515C"/>
    <w:rsid w:val="003D6E0A"/>
    <w:rsid w:val="003D6EB6"/>
    <w:rsid w:val="003E114D"/>
    <w:rsid w:val="003E14EB"/>
    <w:rsid w:val="003E5347"/>
    <w:rsid w:val="003F18FD"/>
    <w:rsid w:val="003F1CDB"/>
    <w:rsid w:val="003F1FBD"/>
    <w:rsid w:val="003F34E8"/>
    <w:rsid w:val="003F3518"/>
    <w:rsid w:val="003F504F"/>
    <w:rsid w:val="003F5B69"/>
    <w:rsid w:val="003F779A"/>
    <w:rsid w:val="004006C9"/>
    <w:rsid w:val="004009FD"/>
    <w:rsid w:val="004027AB"/>
    <w:rsid w:val="00403934"/>
    <w:rsid w:val="004062B6"/>
    <w:rsid w:val="004105EF"/>
    <w:rsid w:val="0041115C"/>
    <w:rsid w:val="00411574"/>
    <w:rsid w:val="00412501"/>
    <w:rsid w:val="004125A8"/>
    <w:rsid w:val="004138B6"/>
    <w:rsid w:val="00413A55"/>
    <w:rsid w:val="00415A1A"/>
    <w:rsid w:val="0041683D"/>
    <w:rsid w:val="0042017A"/>
    <w:rsid w:val="004223CB"/>
    <w:rsid w:val="0042326A"/>
    <w:rsid w:val="00423F96"/>
    <w:rsid w:val="00425CF0"/>
    <w:rsid w:val="0042619D"/>
    <w:rsid w:val="00427AD3"/>
    <w:rsid w:val="00430583"/>
    <w:rsid w:val="004315A2"/>
    <w:rsid w:val="00431F4F"/>
    <w:rsid w:val="0043351E"/>
    <w:rsid w:val="00433676"/>
    <w:rsid w:val="004343BE"/>
    <w:rsid w:val="00435EFF"/>
    <w:rsid w:val="00436504"/>
    <w:rsid w:val="00436C0E"/>
    <w:rsid w:val="004405C7"/>
    <w:rsid w:val="00441D39"/>
    <w:rsid w:val="0044250A"/>
    <w:rsid w:val="00442AF8"/>
    <w:rsid w:val="00445120"/>
    <w:rsid w:val="0044514A"/>
    <w:rsid w:val="00447E59"/>
    <w:rsid w:val="00450DB7"/>
    <w:rsid w:val="00452B38"/>
    <w:rsid w:val="00452F57"/>
    <w:rsid w:val="00455668"/>
    <w:rsid w:val="004575C8"/>
    <w:rsid w:val="004579D9"/>
    <w:rsid w:val="00457DC2"/>
    <w:rsid w:val="0046206C"/>
    <w:rsid w:val="00464927"/>
    <w:rsid w:val="00465378"/>
    <w:rsid w:val="00466A71"/>
    <w:rsid w:val="00466C94"/>
    <w:rsid w:val="00467CC6"/>
    <w:rsid w:val="004733D3"/>
    <w:rsid w:val="0047355E"/>
    <w:rsid w:val="00473597"/>
    <w:rsid w:val="00473AAF"/>
    <w:rsid w:val="004759EE"/>
    <w:rsid w:val="004830A7"/>
    <w:rsid w:val="0048596D"/>
    <w:rsid w:val="00486461"/>
    <w:rsid w:val="00487315"/>
    <w:rsid w:val="004903F0"/>
    <w:rsid w:val="004910DF"/>
    <w:rsid w:val="00491CF8"/>
    <w:rsid w:val="00493F74"/>
    <w:rsid w:val="00494624"/>
    <w:rsid w:val="00495001"/>
    <w:rsid w:val="004958B6"/>
    <w:rsid w:val="004966CA"/>
    <w:rsid w:val="00496A7E"/>
    <w:rsid w:val="00497371"/>
    <w:rsid w:val="004A112E"/>
    <w:rsid w:val="004A197D"/>
    <w:rsid w:val="004A221E"/>
    <w:rsid w:val="004A3F85"/>
    <w:rsid w:val="004A4145"/>
    <w:rsid w:val="004A4276"/>
    <w:rsid w:val="004A43F1"/>
    <w:rsid w:val="004A4A09"/>
    <w:rsid w:val="004A508E"/>
    <w:rsid w:val="004A5FF2"/>
    <w:rsid w:val="004A70D5"/>
    <w:rsid w:val="004A76F2"/>
    <w:rsid w:val="004A7D7A"/>
    <w:rsid w:val="004B220E"/>
    <w:rsid w:val="004B3390"/>
    <w:rsid w:val="004B3B55"/>
    <w:rsid w:val="004B3E29"/>
    <w:rsid w:val="004B4DB1"/>
    <w:rsid w:val="004B51E3"/>
    <w:rsid w:val="004B54E7"/>
    <w:rsid w:val="004B6ED7"/>
    <w:rsid w:val="004C0675"/>
    <w:rsid w:val="004C16FA"/>
    <w:rsid w:val="004C3F9A"/>
    <w:rsid w:val="004C5020"/>
    <w:rsid w:val="004D0A15"/>
    <w:rsid w:val="004D0A89"/>
    <w:rsid w:val="004D1209"/>
    <w:rsid w:val="004D1CC7"/>
    <w:rsid w:val="004D1D26"/>
    <w:rsid w:val="004D3A49"/>
    <w:rsid w:val="004D4247"/>
    <w:rsid w:val="004D4F12"/>
    <w:rsid w:val="004D5623"/>
    <w:rsid w:val="004D7237"/>
    <w:rsid w:val="004D794D"/>
    <w:rsid w:val="004D7FCB"/>
    <w:rsid w:val="004E0C05"/>
    <w:rsid w:val="004E15C6"/>
    <w:rsid w:val="004E3358"/>
    <w:rsid w:val="004E3473"/>
    <w:rsid w:val="004E54EB"/>
    <w:rsid w:val="004E58B2"/>
    <w:rsid w:val="004E58C3"/>
    <w:rsid w:val="004E5C27"/>
    <w:rsid w:val="004E78F5"/>
    <w:rsid w:val="004F0DB1"/>
    <w:rsid w:val="004F1425"/>
    <w:rsid w:val="004F20F0"/>
    <w:rsid w:val="004F278C"/>
    <w:rsid w:val="004F3309"/>
    <w:rsid w:val="004F39F7"/>
    <w:rsid w:val="004F5283"/>
    <w:rsid w:val="005034E3"/>
    <w:rsid w:val="00503AB0"/>
    <w:rsid w:val="0050739A"/>
    <w:rsid w:val="00507F25"/>
    <w:rsid w:val="005100DC"/>
    <w:rsid w:val="00511660"/>
    <w:rsid w:val="00512A0D"/>
    <w:rsid w:val="00513F69"/>
    <w:rsid w:val="0051560B"/>
    <w:rsid w:val="00517A67"/>
    <w:rsid w:val="00517CCE"/>
    <w:rsid w:val="005212F7"/>
    <w:rsid w:val="0052194C"/>
    <w:rsid w:val="005225DF"/>
    <w:rsid w:val="005229A0"/>
    <w:rsid w:val="00522D50"/>
    <w:rsid w:val="00522DA5"/>
    <w:rsid w:val="00524932"/>
    <w:rsid w:val="005251E7"/>
    <w:rsid w:val="00525E12"/>
    <w:rsid w:val="00526427"/>
    <w:rsid w:val="005272C3"/>
    <w:rsid w:val="005275D1"/>
    <w:rsid w:val="00527D92"/>
    <w:rsid w:val="00531AB3"/>
    <w:rsid w:val="00531BAF"/>
    <w:rsid w:val="00535573"/>
    <w:rsid w:val="00537234"/>
    <w:rsid w:val="00537781"/>
    <w:rsid w:val="005409DB"/>
    <w:rsid w:val="00540FB3"/>
    <w:rsid w:val="00542C62"/>
    <w:rsid w:val="00543007"/>
    <w:rsid w:val="00543076"/>
    <w:rsid w:val="00543DF3"/>
    <w:rsid w:val="00543F5F"/>
    <w:rsid w:val="00545698"/>
    <w:rsid w:val="00546093"/>
    <w:rsid w:val="00546149"/>
    <w:rsid w:val="0054730C"/>
    <w:rsid w:val="00547432"/>
    <w:rsid w:val="00552487"/>
    <w:rsid w:val="0055408A"/>
    <w:rsid w:val="00554AC7"/>
    <w:rsid w:val="00555089"/>
    <w:rsid w:val="005559D5"/>
    <w:rsid w:val="005565F1"/>
    <w:rsid w:val="00560EF2"/>
    <w:rsid w:val="00562259"/>
    <w:rsid w:val="005655BD"/>
    <w:rsid w:val="00565A70"/>
    <w:rsid w:val="00565E6F"/>
    <w:rsid w:val="005661E1"/>
    <w:rsid w:val="00566B30"/>
    <w:rsid w:val="00566E24"/>
    <w:rsid w:val="00570D4B"/>
    <w:rsid w:val="00571501"/>
    <w:rsid w:val="005723AB"/>
    <w:rsid w:val="00573B46"/>
    <w:rsid w:val="00573C8F"/>
    <w:rsid w:val="00574404"/>
    <w:rsid w:val="005745E0"/>
    <w:rsid w:val="00574712"/>
    <w:rsid w:val="00574F99"/>
    <w:rsid w:val="005754C4"/>
    <w:rsid w:val="00576B7B"/>
    <w:rsid w:val="00576C5E"/>
    <w:rsid w:val="00577C17"/>
    <w:rsid w:val="005804CC"/>
    <w:rsid w:val="00580957"/>
    <w:rsid w:val="005810F1"/>
    <w:rsid w:val="00581289"/>
    <w:rsid w:val="005817BC"/>
    <w:rsid w:val="005818B8"/>
    <w:rsid w:val="005824FB"/>
    <w:rsid w:val="00585BA6"/>
    <w:rsid w:val="00586955"/>
    <w:rsid w:val="005870EB"/>
    <w:rsid w:val="00587762"/>
    <w:rsid w:val="00592807"/>
    <w:rsid w:val="00592DCF"/>
    <w:rsid w:val="005955BA"/>
    <w:rsid w:val="00595FA0"/>
    <w:rsid w:val="00597C80"/>
    <w:rsid w:val="005A0B59"/>
    <w:rsid w:val="005A1CDE"/>
    <w:rsid w:val="005A212B"/>
    <w:rsid w:val="005A245A"/>
    <w:rsid w:val="005A2853"/>
    <w:rsid w:val="005A2C7B"/>
    <w:rsid w:val="005A3157"/>
    <w:rsid w:val="005A324A"/>
    <w:rsid w:val="005A40A2"/>
    <w:rsid w:val="005A7856"/>
    <w:rsid w:val="005B0F9A"/>
    <w:rsid w:val="005B1A42"/>
    <w:rsid w:val="005B27B2"/>
    <w:rsid w:val="005B3BBE"/>
    <w:rsid w:val="005B41F9"/>
    <w:rsid w:val="005B4DB1"/>
    <w:rsid w:val="005B53B5"/>
    <w:rsid w:val="005B7DA7"/>
    <w:rsid w:val="005C162E"/>
    <w:rsid w:val="005C3294"/>
    <w:rsid w:val="005C3846"/>
    <w:rsid w:val="005C417A"/>
    <w:rsid w:val="005C5030"/>
    <w:rsid w:val="005C54CF"/>
    <w:rsid w:val="005C5D7B"/>
    <w:rsid w:val="005C7CC7"/>
    <w:rsid w:val="005D22FC"/>
    <w:rsid w:val="005D3D41"/>
    <w:rsid w:val="005D71FB"/>
    <w:rsid w:val="005D736F"/>
    <w:rsid w:val="005E018D"/>
    <w:rsid w:val="005E0827"/>
    <w:rsid w:val="005E15D1"/>
    <w:rsid w:val="005E4F70"/>
    <w:rsid w:val="005E52D1"/>
    <w:rsid w:val="005E6CD5"/>
    <w:rsid w:val="005E7962"/>
    <w:rsid w:val="005E7CE8"/>
    <w:rsid w:val="005E7EC7"/>
    <w:rsid w:val="005F162E"/>
    <w:rsid w:val="005F16C3"/>
    <w:rsid w:val="005F1B58"/>
    <w:rsid w:val="005F328B"/>
    <w:rsid w:val="005F3D2C"/>
    <w:rsid w:val="005F5D2A"/>
    <w:rsid w:val="005F74F3"/>
    <w:rsid w:val="00600A32"/>
    <w:rsid w:val="006041C3"/>
    <w:rsid w:val="006052FC"/>
    <w:rsid w:val="00605403"/>
    <w:rsid w:val="00605A28"/>
    <w:rsid w:val="00607629"/>
    <w:rsid w:val="00610BBF"/>
    <w:rsid w:val="006127AC"/>
    <w:rsid w:val="00613672"/>
    <w:rsid w:val="00613FB5"/>
    <w:rsid w:val="00614E98"/>
    <w:rsid w:val="00614EBD"/>
    <w:rsid w:val="006178D6"/>
    <w:rsid w:val="00620A55"/>
    <w:rsid w:val="00620B9C"/>
    <w:rsid w:val="0062295C"/>
    <w:rsid w:val="0062323D"/>
    <w:rsid w:val="00623AD2"/>
    <w:rsid w:val="00623F73"/>
    <w:rsid w:val="006240AB"/>
    <w:rsid w:val="00624678"/>
    <w:rsid w:val="00627446"/>
    <w:rsid w:val="006300EA"/>
    <w:rsid w:val="00631A23"/>
    <w:rsid w:val="00632B51"/>
    <w:rsid w:val="00633021"/>
    <w:rsid w:val="006343C0"/>
    <w:rsid w:val="0063584F"/>
    <w:rsid w:val="00636962"/>
    <w:rsid w:val="00637781"/>
    <w:rsid w:val="00641920"/>
    <w:rsid w:val="00643B4D"/>
    <w:rsid w:val="00644C71"/>
    <w:rsid w:val="006462FA"/>
    <w:rsid w:val="00646B9E"/>
    <w:rsid w:val="00650741"/>
    <w:rsid w:val="006512A9"/>
    <w:rsid w:val="00651D65"/>
    <w:rsid w:val="00653F33"/>
    <w:rsid w:val="0065401F"/>
    <w:rsid w:val="00654756"/>
    <w:rsid w:val="0065767F"/>
    <w:rsid w:val="00660EBB"/>
    <w:rsid w:val="0066206B"/>
    <w:rsid w:val="00663CC5"/>
    <w:rsid w:val="00667942"/>
    <w:rsid w:val="00670660"/>
    <w:rsid w:val="00671DC5"/>
    <w:rsid w:val="00672BF8"/>
    <w:rsid w:val="006811B0"/>
    <w:rsid w:val="0068471E"/>
    <w:rsid w:val="00684D69"/>
    <w:rsid w:val="006857AD"/>
    <w:rsid w:val="00686AF3"/>
    <w:rsid w:val="006875F0"/>
    <w:rsid w:val="00691F97"/>
    <w:rsid w:val="006928F3"/>
    <w:rsid w:val="00692DCA"/>
    <w:rsid w:val="006952F5"/>
    <w:rsid w:val="006953F5"/>
    <w:rsid w:val="00695AF9"/>
    <w:rsid w:val="006A2E04"/>
    <w:rsid w:val="006A2F51"/>
    <w:rsid w:val="006A350C"/>
    <w:rsid w:val="006A5596"/>
    <w:rsid w:val="006A75D1"/>
    <w:rsid w:val="006B15E6"/>
    <w:rsid w:val="006B2167"/>
    <w:rsid w:val="006B229A"/>
    <w:rsid w:val="006B268E"/>
    <w:rsid w:val="006B3172"/>
    <w:rsid w:val="006B317B"/>
    <w:rsid w:val="006B4620"/>
    <w:rsid w:val="006B58FD"/>
    <w:rsid w:val="006B6623"/>
    <w:rsid w:val="006C05AD"/>
    <w:rsid w:val="006C1B42"/>
    <w:rsid w:val="006C2F62"/>
    <w:rsid w:val="006C45C7"/>
    <w:rsid w:val="006C4FCC"/>
    <w:rsid w:val="006C5495"/>
    <w:rsid w:val="006C56C9"/>
    <w:rsid w:val="006C783A"/>
    <w:rsid w:val="006D05E4"/>
    <w:rsid w:val="006D144F"/>
    <w:rsid w:val="006D4C52"/>
    <w:rsid w:val="006D567B"/>
    <w:rsid w:val="006D6D79"/>
    <w:rsid w:val="006E0B76"/>
    <w:rsid w:val="006E1A78"/>
    <w:rsid w:val="006E1CF0"/>
    <w:rsid w:val="006E2EB3"/>
    <w:rsid w:val="006E3EAB"/>
    <w:rsid w:val="006E4938"/>
    <w:rsid w:val="006E521B"/>
    <w:rsid w:val="006E5AC6"/>
    <w:rsid w:val="006E7789"/>
    <w:rsid w:val="006F2BB0"/>
    <w:rsid w:val="006F2EC0"/>
    <w:rsid w:val="006F30B4"/>
    <w:rsid w:val="006F3939"/>
    <w:rsid w:val="006F4607"/>
    <w:rsid w:val="006F46C3"/>
    <w:rsid w:val="006F5FB8"/>
    <w:rsid w:val="006F6CD6"/>
    <w:rsid w:val="006F6E12"/>
    <w:rsid w:val="00700762"/>
    <w:rsid w:val="00701A84"/>
    <w:rsid w:val="00705859"/>
    <w:rsid w:val="007058F5"/>
    <w:rsid w:val="00706041"/>
    <w:rsid w:val="00710D6C"/>
    <w:rsid w:val="00710D93"/>
    <w:rsid w:val="007123AF"/>
    <w:rsid w:val="00712A96"/>
    <w:rsid w:val="007130EC"/>
    <w:rsid w:val="00714018"/>
    <w:rsid w:val="007144B9"/>
    <w:rsid w:val="00716EE4"/>
    <w:rsid w:val="00721056"/>
    <w:rsid w:val="00722CDE"/>
    <w:rsid w:val="00722E71"/>
    <w:rsid w:val="00723AEF"/>
    <w:rsid w:val="00723D8D"/>
    <w:rsid w:val="00725C94"/>
    <w:rsid w:val="00725F00"/>
    <w:rsid w:val="00726A6C"/>
    <w:rsid w:val="00726B23"/>
    <w:rsid w:val="00726B8B"/>
    <w:rsid w:val="00726C76"/>
    <w:rsid w:val="00726DB7"/>
    <w:rsid w:val="00727E29"/>
    <w:rsid w:val="0073232D"/>
    <w:rsid w:val="00733083"/>
    <w:rsid w:val="007356EB"/>
    <w:rsid w:val="00735916"/>
    <w:rsid w:val="00737AA2"/>
    <w:rsid w:val="00740AE9"/>
    <w:rsid w:val="00742B21"/>
    <w:rsid w:val="00744517"/>
    <w:rsid w:val="007476CC"/>
    <w:rsid w:val="00750137"/>
    <w:rsid w:val="0075115C"/>
    <w:rsid w:val="007516C9"/>
    <w:rsid w:val="00752100"/>
    <w:rsid w:val="007538E9"/>
    <w:rsid w:val="00753921"/>
    <w:rsid w:val="00755157"/>
    <w:rsid w:val="007569B0"/>
    <w:rsid w:val="007604C3"/>
    <w:rsid w:val="00760FAE"/>
    <w:rsid w:val="0076115D"/>
    <w:rsid w:val="00762C99"/>
    <w:rsid w:val="007658F1"/>
    <w:rsid w:val="00766147"/>
    <w:rsid w:val="007668D8"/>
    <w:rsid w:val="00766D82"/>
    <w:rsid w:val="00766DD4"/>
    <w:rsid w:val="00767CF8"/>
    <w:rsid w:val="00770518"/>
    <w:rsid w:val="00770C01"/>
    <w:rsid w:val="00771522"/>
    <w:rsid w:val="00772282"/>
    <w:rsid w:val="0077236D"/>
    <w:rsid w:val="007724D2"/>
    <w:rsid w:val="00772E30"/>
    <w:rsid w:val="00774C3B"/>
    <w:rsid w:val="007769FC"/>
    <w:rsid w:val="00780470"/>
    <w:rsid w:val="0078343C"/>
    <w:rsid w:val="0078582F"/>
    <w:rsid w:val="00786767"/>
    <w:rsid w:val="00787834"/>
    <w:rsid w:val="00790A94"/>
    <w:rsid w:val="007911B2"/>
    <w:rsid w:val="00797ACE"/>
    <w:rsid w:val="007A08F7"/>
    <w:rsid w:val="007A1E5B"/>
    <w:rsid w:val="007A27B2"/>
    <w:rsid w:val="007A3441"/>
    <w:rsid w:val="007A36C9"/>
    <w:rsid w:val="007A3C01"/>
    <w:rsid w:val="007A5188"/>
    <w:rsid w:val="007A6247"/>
    <w:rsid w:val="007A6512"/>
    <w:rsid w:val="007A67FD"/>
    <w:rsid w:val="007B0A87"/>
    <w:rsid w:val="007B2210"/>
    <w:rsid w:val="007B300E"/>
    <w:rsid w:val="007B3D71"/>
    <w:rsid w:val="007B5213"/>
    <w:rsid w:val="007B7DDF"/>
    <w:rsid w:val="007C292F"/>
    <w:rsid w:val="007C2AB0"/>
    <w:rsid w:val="007C3124"/>
    <w:rsid w:val="007C33BE"/>
    <w:rsid w:val="007C3734"/>
    <w:rsid w:val="007C5B73"/>
    <w:rsid w:val="007C5DF5"/>
    <w:rsid w:val="007D07A2"/>
    <w:rsid w:val="007D16DC"/>
    <w:rsid w:val="007D29C2"/>
    <w:rsid w:val="007D36E9"/>
    <w:rsid w:val="007D3AAE"/>
    <w:rsid w:val="007D4C26"/>
    <w:rsid w:val="007D5339"/>
    <w:rsid w:val="007D5CBB"/>
    <w:rsid w:val="007D6572"/>
    <w:rsid w:val="007D6983"/>
    <w:rsid w:val="007E0563"/>
    <w:rsid w:val="007E1033"/>
    <w:rsid w:val="007E1153"/>
    <w:rsid w:val="007E129F"/>
    <w:rsid w:val="007E1F8D"/>
    <w:rsid w:val="007E6590"/>
    <w:rsid w:val="007E6F41"/>
    <w:rsid w:val="007E78FD"/>
    <w:rsid w:val="007F0E2F"/>
    <w:rsid w:val="007F21F2"/>
    <w:rsid w:val="007F24FF"/>
    <w:rsid w:val="007F2D92"/>
    <w:rsid w:val="007F33A5"/>
    <w:rsid w:val="007F61D6"/>
    <w:rsid w:val="007F67B4"/>
    <w:rsid w:val="007F6A96"/>
    <w:rsid w:val="008009B4"/>
    <w:rsid w:val="008016DA"/>
    <w:rsid w:val="00801CAA"/>
    <w:rsid w:val="00802B3E"/>
    <w:rsid w:val="00803D1B"/>
    <w:rsid w:val="00804854"/>
    <w:rsid w:val="00805A2D"/>
    <w:rsid w:val="00805D01"/>
    <w:rsid w:val="00805F16"/>
    <w:rsid w:val="00810606"/>
    <w:rsid w:val="00810775"/>
    <w:rsid w:val="00812D3A"/>
    <w:rsid w:val="008149E0"/>
    <w:rsid w:val="00814ACE"/>
    <w:rsid w:val="008208F6"/>
    <w:rsid w:val="00820A60"/>
    <w:rsid w:val="00822B05"/>
    <w:rsid w:val="00823971"/>
    <w:rsid w:val="00825115"/>
    <w:rsid w:val="00825C0C"/>
    <w:rsid w:val="008261CA"/>
    <w:rsid w:val="00826534"/>
    <w:rsid w:val="00826C28"/>
    <w:rsid w:val="00827909"/>
    <w:rsid w:val="00833E5B"/>
    <w:rsid w:val="00833F8A"/>
    <w:rsid w:val="00834CBD"/>
    <w:rsid w:val="00835A0A"/>
    <w:rsid w:val="00835FA3"/>
    <w:rsid w:val="00836AA3"/>
    <w:rsid w:val="00836FCA"/>
    <w:rsid w:val="008428B4"/>
    <w:rsid w:val="00842D0A"/>
    <w:rsid w:val="00843663"/>
    <w:rsid w:val="0084602F"/>
    <w:rsid w:val="00846D74"/>
    <w:rsid w:val="00847755"/>
    <w:rsid w:val="00851FB3"/>
    <w:rsid w:val="0085267C"/>
    <w:rsid w:val="0085280B"/>
    <w:rsid w:val="008567AE"/>
    <w:rsid w:val="008602E0"/>
    <w:rsid w:val="0086119A"/>
    <w:rsid w:val="00862274"/>
    <w:rsid w:val="008625DD"/>
    <w:rsid w:val="00862609"/>
    <w:rsid w:val="008631FE"/>
    <w:rsid w:val="008634A5"/>
    <w:rsid w:val="008656EF"/>
    <w:rsid w:val="008657D0"/>
    <w:rsid w:val="00865A18"/>
    <w:rsid w:val="00873670"/>
    <w:rsid w:val="00877B50"/>
    <w:rsid w:val="00880196"/>
    <w:rsid w:val="00880C4E"/>
    <w:rsid w:val="00883C18"/>
    <w:rsid w:val="00884003"/>
    <w:rsid w:val="00884568"/>
    <w:rsid w:val="00886D39"/>
    <w:rsid w:val="00891335"/>
    <w:rsid w:val="00893F10"/>
    <w:rsid w:val="00897631"/>
    <w:rsid w:val="008A05C7"/>
    <w:rsid w:val="008A0C4A"/>
    <w:rsid w:val="008A1652"/>
    <w:rsid w:val="008A3781"/>
    <w:rsid w:val="008A4935"/>
    <w:rsid w:val="008A4C29"/>
    <w:rsid w:val="008A4C9A"/>
    <w:rsid w:val="008A4F8A"/>
    <w:rsid w:val="008A55DC"/>
    <w:rsid w:val="008A6176"/>
    <w:rsid w:val="008A6265"/>
    <w:rsid w:val="008A6F43"/>
    <w:rsid w:val="008B0843"/>
    <w:rsid w:val="008B13FE"/>
    <w:rsid w:val="008B178C"/>
    <w:rsid w:val="008B256A"/>
    <w:rsid w:val="008B4537"/>
    <w:rsid w:val="008B4958"/>
    <w:rsid w:val="008B50BC"/>
    <w:rsid w:val="008B5F19"/>
    <w:rsid w:val="008B6D39"/>
    <w:rsid w:val="008B7B7B"/>
    <w:rsid w:val="008C0F7D"/>
    <w:rsid w:val="008C11DF"/>
    <w:rsid w:val="008C1A6B"/>
    <w:rsid w:val="008C3C6E"/>
    <w:rsid w:val="008C4D93"/>
    <w:rsid w:val="008C5746"/>
    <w:rsid w:val="008C7711"/>
    <w:rsid w:val="008D03E3"/>
    <w:rsid w:val="008D085E"/>
    <w:rsid w:val="008D0EA5"/>
    <w:rsid w:val="008D185A"/>
    <w:rsid w:val="008D1879"/>
    <w:rsid w:val="008D2226"/>
    <w:rsid w:val="008D2B4F"/>
    <w:rsid w:val="008D34AF"/>
    <w:rsid w:val="008D51B7"/>
    <w:rsid w:val="008E0AE1"/>
    <w:rsid w:val="008E1BD7"/>
    <w:rsid w:val="008E2CA5"/>
    <w:rsid w:val="008E3370"/>
    <w:rsid w:val="008E3A41"/>
    <w:rsid w:val="008E40E6"/>
    <w:rsid w:val="008F1666"/>
    <w:rsid w:val="008F25E1"/>
    <w:rsid w:val="008F2DB6"/>
    <w:rsid w:val="008F45C3"/>
    <w:rsid w:val="008F54C0"/>
    <w:rsid w:val="008F6120"/>
    <w:rsid w:val="008F78BF"/>
    <w:rsid w:val="00901183"/>
    <w:rsid w:val="00901415"/>
    <w:rsid w:val="0090152F"/>
    <w:rsid w:val="00901B60"/>
    <w:rsid w:val="0090314C"/>
    <w:rsid w:val="009035B3"/>
    <w:rsid w:val="00904293"/>
    <w:rsid w:val="009045DE"/>
    <w:rsid w:val="00904EAC"/>
    <w:rsid w:val="00905830"/>
    <w:rsid w:val="00905AE6"/>
    <w:rsid w:val="00907E84"/>
    <w:rsid w:val="009102B1"/>
    <w:rsid w:val="0091348F"/>
    <w:rsid w:val="00913849"/>
    <w:rsid w:val="00913DA9"/>
    <w:rsid w:val="009143D6"/>
    <w:rsid w:val="0091575A"/>
    <w:rsid w:val="00915BD0"/>
    <w:rsid w:val="00915FD5"/>
    <w:rsid w:val="009165B6"/>
    <w:rsid w:val="00916B19"/>
    <w:rsid w:val="0091764F"/>
    <w:rsid w:val="00920176"/>
    <w:rsid w:val="00922D1D"/>
    <w:rsid w:val="00923C5E"/>
    <w:rsid w:val="00925712"/>
    <w:rsid w:val="0092577B"/>
    <w:rsid w:val="00926486"/>
    <w:rsid w:val="00926831"/>
    <w:rsid w:val="009272DD"/>
    <w:rsid w:val="009303A2"/>
    <w:rsid w:val="00937163"/>
    <w:rsid w:val="00940482"/>
    <w:rsid w:val="00942FF5"/>
    <w:rsid w:val="0094394C"/>
    <w:rsid w:val="00943B39"/>
    <w:rsid w:val="00943F58"/>
    <w:rsid w:val="0094443B"/>
    <w:rsid w:val="00945EBB"/>
    <w:rsid w:val="00946950"/>
    <w:rsid w:val="0094784E"/>
    <w:rsid w:val="00947882"/>
    <w:rsid w:val="0094793B"/>
    <w:rsid w:val="00950252"/>
    <w:rsid w:val="00951119"/>
    <w:rsid w:val="00953A9D"/>
    <w:rsid w:val="00953E62"/>
    <w:rsid w:val="009550FC"/>
    <w:rsid w:val="00956336"/>
    <w:rsid w:val="0095755C"/>
    <w:rsid w:val="009578D2"/>
    <w:rsid w:val="00957C87"/>
    <w:rsid w:val="00961404"/>
    <w:rsid w:val="0096197F"/>
    <w:rsid w:val="00962079"/>
    <w:rsid w:val="0096341D"/>
    <w:rsid w:val="00964108"/>
    <w:rsid w:val="00964882"/>
    <w:rsid w:val="009678EF"/>
    <w:rsid w:val="009702C0"/>
    <w:rsid w:val="00972737"/>
    <w:rsid w:val="00972D10"/>
    <w:rsid w:val="00974E85"/>
    <w:rsid w:val="00975526"/>
    <w:rsid w:val="00975D10"/>
    <w:rsid w:val="00976894"/>
    <w:rsid w:val="009773DB"/>
    <w:rsid w:val="00977F6D"/>
    <w:rsid w:val="0098013A"/>
    <w:rsid w:val="0098095B"/>
    <w:rsid w:val="00980CE5"/>
    <w:rsid w:val="00981293"/>
    <w:rsid w:val="009816BB"/>
    <w:rsid w:val="00981D21"/>
    <w:rsid w:val="00982B42"/>
    <w:rsid w:val="00984168"/>
    <w:rsid w:val="0098473F"/>
    <w:rsid w:val="00986130"/>
    <w:rsid w:val="009875FE"/>
    <w:rsid w:val="00987946"/>
    <w:rsid w:val="00990C32"/>
    <w:rsid w:val="009914DB"/>
    <w:rsid w:val="00991717"/>
    <w:rsid w:val="009918C4"/>
    <w:rsid w:val="00993DD3"/>
    <w:rsid w:val="00993FD3"/>
    <w:rsid w:val="00996086"/>
    <w:rsid w:val="00996A73"/>
    <w:rsid w:val="00997308"/>
    <w:rsid w:val="0099765D"/>
    <w:rsid w:val="009A04D2"/>
    <w:rsid w:val="009A04D7"/>
    <w:rsid w:val="009A21F7"/>
    <w:rsid w:val="009A6828"/>
    <w:rsid w:val="009A72CB"/>
    <w:rsid w:val="009B0025"/>
    <w:rsid w:val="009B0753"/>
    <w:rsid w:val="009B115E"/>
    <w:rsid w:val="009B1C5F"/>
    <w:rsid w:val="009B4909"/>
    <w:rsid w:val="009B499F"/>
    <w:rsid w:val="009B54E6"/>
    <w:rsid w:val="009B63E1"/>
    <w:rsid w:val="009B754A"/>
    <w:rsid w:val="009C221B"/>
    <w:rsid w:val="009C310C"/>
    <w:rsid w:val="009C3C41"/>
    <w:rsid w:val="009C42F0"/>
    <w:rsid w:val="009C5D2B"/>
    <w:rsid w:val="009C6B99"/>
    <w:rsid w:val="009C748E"/>
    <w:rsid w:val="009D0A6C"/>
    <w:rsid w:val="009D24E2"/>
    <w:rsid w:val="009D25BB"/>
    <w:rsid w:val="009D34B8"/>
    <w:rsid w:val="009D45AC"/>
    <w:rsid w:val="009D7C16"/>
    <w:rsid w:val="009E11E8"/>
    <w:rsid w:val="009E280D"/>
    <w:rsid w:val="009E28AB"/>
    <w:rsid w:val="009E2AE4"/>
    <w:rsid w:val="009E3F33"/>
    <w:rsid w:val="009E454B"/>
    <w:rsid w:val="009E62C3"/>
    <w:rsid w:val="009E77CE"/>
    <w:rsid w:val="009E7E61"/>
    <w:rsid w:val="009F0C48"/>
    <w:rsid w:val="009F1AC6"/>
    <w:rsid w:val="009F2126"/>
    <w:rsid w:val="009F3D52"/>
    <w:rsid w:val="009F4263"/>
    <w:rsid w:val="009F46DE"/>
    <w:rsid w:val="009F5315"/>
    <w:rsid w:val="009F5B29"/>
    <w:rsid w:val="009F7053"/>
    <w:rsid w:val="009F7D47"/>
    <w:rsid w:val="009F7DC0"/>
    <w:rsid w:val="00A00218"/>
    <w:rsid w:val="00A01041"/>
    <w:rsid w:val="00A013E6"/>
    <w:rsid w:val="00A01431"/>
    <w:rsid w:val="00A018D9"/>
    <w:rsid w:val="00A02955"/>
    <w:rsid w:val="00A03B6C"/>
    <w:rsid w:val="00A059CF"/>
    <w:rsid w:val="00A12026"/>
    <w:rsid w:val="00A12434"/>
    <w:rsid w:val="00A12938"/>
    <w:rsid w:val="00A131B2"/>
    <w:rsid w:val="00A14792"/>
    <w:rsid w:val="00A161A9"/>
    <w:rsid w:val="00A20C87"/>
    <w:rsid w:val="00A214E6"/>
    <w:rsid w:val="00A22806"/>
    <w:rsid w:val="00A229B2"/>
    <w:rsid w:val="00A22A71"/>
    <w:rsid w:val="00A236AA"/>
    <w:rsid w:val="00A239C4"/>
    <w:rsid w:val="00A24AE5"/>
    <w:rsid w:val="00A257C6"/>
    <w:rsid w:val="00A271E6"/>
    <w:rsid w:val="00A27AD2"/>
    <w:rsid w:val="00A31FBE"/>
    <w:rsid w:val="00A32AD4"/>
    <w:rsid w:val="00A32B42"/>
    <w:rsid w:val="00A340CE"/>
    <w:rsid w:val="00A36636"/>
    <w:rsid w:val="00A41924"/>
    <w:rsid w:val="00A422AD"/>
    <w:rsid w:val="00A434EB"/>
    <w:rsid w:val="00A443E0"/>
    <w:rsid w:val="00A47CE5"/>
    <w:rsid w:val="00A50EF9"/>
    <w:rsid w:val="00A51D94"/>
    <w:rsid w:val="00A51DD3"/>
    <w:rsid w:val="00A540AC"/>
    <w:rsid w:val="00A55022"/>
    <w:rsid w:val="00A567AD"/>
    <w:rsid w:val="00A56829"/>
    <w:rsid w:val="00A61B79"/>
    <w:rsid w:val="00A640A1"/>
    <w:rsid w:val="00A64355"/>
    <w:rsid w:val="00A64CFB"/>
    <w:rsid w:val="00A660F9"/>
    <w:rsid w:val="00A67F0D"/>
    <w:rsid w:val="00A703A6"/>
    <w:rsid w:val="00A7108D"/>
    <w:rsid w:val="00A71821"/>
    <w:rsid w:val="00A73474"/>
    <w:rsid w:val="00A7377F"/>
    <w:rsid w:val="00A7425C"/>
    <w:rsid w:val="00A744AE"/>
    <w:rsid w:val="00A75AAB"/>
    <w:rsid w:val="00A77C2A"/>
    <w:rsid w:val="00A8092A"/>
    <w:rsid w:val="00A811E4"/>
    <w:rsid w:val="00A8366F"/>
    <w:rsid w:val="00A83ACD"/>
    <w:rsid w:val="00A86BC1"/>
    <w:rsid w:val="00A87F39"/>
    <w:rsid w:val="00A909F4"/>
    <w:rsid w:val="00A90FFC"/>
    <w:rsid w:val="00A925B0"/>
    <w:rsid w:val="00A92FF7"/>
    <w:rsid w:val="00A939E3"/>
    <w:rsid w:val="00A93CEE"/>
    <w:rsid w:val="00A94F22"/>
    <w:rsid w:val="00A95B52"/>
    <w:rsid w:val="00A95DBF"/>
    <w:rsid w:val="00A97ECB"/>
    <w:rsid w:val="00AA3B58"/>
    <w:rsid w:val="00AA5687"/>
    <w:rsid w:val="00AA77E6"/>
    <w:rsid w:val="00AB22FD"/>
    <w:rsid w:val="00AB249C"/>
    <w:rsid w:val="00AB3057"/>
    <w:rsid w:val="00AB3141"/>
    <w:rsid w:val="00AB5EF7"/>
    <w:rsid w:val="00AB609D"/>
    <w:rsid w:val="00AB66B8"/>
    <w:rsid w:val="00AB772B"/>
    <w:rsid w:val="00AC188E"/>
    <w:rsid w:val="00AC2268"/>
    <w:rsid w:val="00AC27AF"/>
    <w:rsid w:val="00AC2FEB"/>
    <w:rsid w:val="00AC3AA9"/>
    <w:rsid w:val="00AC7102"/>
    <w:rsid w:val="00AC7AA8"/>
    <w:rsid w:val="00AD14E9"/>
    <w:rsid w:val="00AD1FC6"/>
    <w:rsid w:val="00AD38CD"/>
    <w:rsid w:val="00AD75D8"/>
    <w:rsid w:val="00AD7CAC"/>
    <w:rsid w:val="00AD7DE4"/>
    <w:rsid w:val="00AE3D01"/>
    <w:rsid w:val="00AE4FC4"/>
    <w:rsid w:val="00AE5260"/>
    <w:rsid w:val="00AE5CF7"/>
    <w:rsid w:val="00AE5F5F"/>
    <w:rsid w:val="00AE5F7F"/>
    <w:rsid w:val="00AE6731"/>
    <w:rsid w:val="00AE67B6"/>
    <w:rsid w:val="00AF079D"/>
    <w:rsid w:val="00AF08A4"/>
    <w:rsid w:val="00AF3442"/>
    <w:rsid w:val="00AF49A0"/>
    <w:rsid w:val="00AF5D13"/>
    <w:rsid w:val="00AF6684"/>
    <w:rsid w:val="00AF761E"/>
    <w:rsid w:val="00AF78C8"/>
    <w:rsid w:val="00AF7CFA"/>
    <w:rsid w:val="00B0084E"/>
    <w:rsid w:val="00B00E83"/>
    <w:rsid w:val="00B01EEC"/>
    <w:rsid w:val="00B021E1"/>
    <w:rsid w:val="00B039FE"/>
    <w:rsid w:val="00B05EB7"/>
    <w:rsid w:val="00B06344"/>
    <w:rsid w:val="00B0641E"/>
    <w:rsid w:val="00B071B2"/>
    <w:rsid w:val="00B078A6"/>
    <w:rsid w:val="00B10813"/>
    <w:rsid w:val="00B10F34"/>
    <w:rsid w:val="00B13034"/>
    <w:rsid w:val="00B1435B"/>
    <w:rsid w:val="00B14DE9"/>
    <w:rsid w:val="00B17226"/>
    <w:rsid w:val="00B1739F"/>
    <w:rsid w:val="00B203D1"/>
    <w:rsid w:val="00B20435"/>
    <w:rsid w:val="00B2193F"/>
    <w:rsid w:val="00B21D21"/>
    <w:rsid w:val="00B23795"/>
    <w:rsid w:val="00B26215"/>
    <w:rsid w:val="00B2664C"/>
    <w:rsid w:val="00B30D0B"/>
    <w:rsid w:val="00B314AE"/>
    <w:rsid w:val="00B329C0"/>
    <w:rsid w:val="00B333E0"/>
    <w:rsid w:val="00B33D7C"/>
    <w:rsid w:val="00B34169"/>
    <w:rsid w:val="00B35DAF"/>
    <w:rsid w:val="00B37B25"/>
    <w:rsid w:val="00B40DB4"/>
    <w:rsid w:val="00B42EA6"/>
    <w:rsid w:val="00B43529"/>
    <w:rsid w:val="00B4382A"/>
    <w:rsid w:val="00B441A3"/>
    <w:rsid w:val="00B45828"/>
    <w:rsid w:val="00B459E6"/>
    <w:rsid w:val="00B4788F"/>
    <w:rsid w:val="00B51807"/>
    <w:rsid w:val="00B51D11"/>
    <w:rsid w:val="00B52304"/>
    <w:rsid w:val="00B52E59"/>
    <w:rsid w:val="00B537AA"/>
    <w:rsid w:val="00B54871"/>
    <w:rsid w:val="00B54BEC"/>
    <w:rsid w:val="00B5661B"/>
    <w:rsid w:val="00B568D1"/>
    <w:rsid w:val="00B56F9E"/>
    <w:rsid w:val="00B5771D"/>
    <w:rsid w:val="00B6040F"/>
    <w:rsid w:val="00B60D18"/>
    <w:rsid w:val="00B62BF7"/>
    <w:rsid w:val="00B62F0E"/>
    <w:rsid w:val="00B70370"/>
    <w:rsid w:val="00B704DC"/>
    <w:rsid w:val="00B70AB4"/>
    <w:rsid w:val="00B758AA"/>
    <w:rsid w:val="00B7681D"/>
    <w:rsid w:val="00B770F9"/>
    <w:rsid w:val="00B8223C"/>
    <w:rsid w:val="00B82CF7"/>
    <w:rsid w:val="00B82E6C"/>
    <w:rsid w:val="00B83E5B"/>
    <w:rsid w:val="00B840FF"/>
    <w:rsid w:val="00B8418F"/>
    <w:rsid w:val="00B850F5"/>
    <w:rsid w:val="00B85BB5"/>
    <w:rsid w:val="00B85D28"/>
    <w:rsid w:val="00B87386"/>
    <w:rsid w:val="00B91577"/>
    <w:rsid w:val="00B923D8"/>
    <w:rsid w:val="00B924CB"/>
    <w:rsid w:val="00B9671E"/>
    <w:rsid w:val="00BA0BF9"/>
    <w:rsid w:val="00BA1742"/>
    <w:rsid w:val="00BA6A1E"/>
    <w:rsid w:val="00BA779B"/>
    <w:rsid w:val="00BB14E3"/>
    <w:rsid w:val="00BB2113"/>
    <w:rsid w:val="00BB4F87"/>
    <w:rsid w:val="00BB6955"/>
    <w:rsid w:val="00BB7076"/>
    <w:rsid w:val="00BB7F23"/>
    <w:rsid w:val="00BC08DE"/>
    <w:rsid w:val="00BC15E9"/>
    <w:rsid w:val="00BC295A"/>
    <w:rsid w:val="00BC31D7"/>
    <w:rsid w:val="00BC5A19"/>
    <w:rsid w:val="00BC7BDB"/>
    <w:rsid w:val="00BC7D06"/>
    <w:rsid w:val="00BD02D1"/>
    <w:rsid w:val="00BD0888"/>
    <w:rsid w:val="00BD2382"/>
    <w:rsid w:val="00BD2DDE"/>
    <w:rsid w:val="00BD38A7"/>
    <w:rsid w:val="00BD4CB1"/>
    <w:rsid w:val="00BD50B2"/>
    <w:rsid w:val="00BD5685"/>
    <w:rsid w:val="00BD58EC"/>
    <w:rsid w:val="00BD6426"/>
    <w:rsid w:val="00BD6BA2"/>
    <w:rsid w:val="00BD6C5E"/>
    <w:rsid w:val="00BD7122"/>
    <w:rsid w:val="00BD7B28"/>
    <w:rsid w:val="00BE0E4E"/>
    <w:rsid w:val="00BE11CE"/>
    <w:rsid w:val="00BE1F7A"/>
    <w:rsid w:val="00BE53BD"/>
    <w:rsid w:val="00BE5AE9"/>
    <w:rsid w:val="00BE619B"/>
    <w:rsid w:val="00BE7431"/>
    <w:rsid w:val="00BE782B"/>
    <w:rsid w:val="00BE7BE2"/>
    <w:rsid w:val="00BF004A"/>
    <w:rsid w:val="00BF1472"/>
    <w:rsid w:val="00BF1F32"/>
    <w:rsid w:val="00BF208A"/>
    <w:rsid w:val="00BF2F72"/>
    <w:rsid w:val="00BF3E51"/>
    <w:rsid w:val="00BF4366"/>
    <w:rsid w:val="00BF495E"/>
    <w:rsid w:val="00BF5015"/>
    <w:rsid w:val="00BF7CA8"/>
    <w:rsid w:val="00BF7F5D"/>
    <w:rsid w:val="00C000E6"/>
    <w:rsid w:val="00C0041F"/>
    <w:rsid w:val="00C03B29"/>
    <w:rsid w:val="00C0439B"/>
    <w:rsid w:val="00C070F9"/>
    <w:rsid w:val="00C075E0"/>
    <w:rsid w:val="00C07E4A"/>
    <w:rsid w:val="00C10A53"/>
    <w:rsid w:val="00C11B1A"/>
    <w:rsid w:val="00C127B7"/>
    <w:rsid w:val="00C1324D"/>
    <w:rsid w:val="00C13846"/>
    <w:rsid w:val="00C1558A"/>
    <w:rsid w:val="00C16B44"/>
    <w:rsid w:val="00C16E65"/>
    <w:rsid w:val="00C249BE"/>
    <w:rsid w:val="00C24B4C"/>
    <w:rsid w:val="00C25B63"/>
    <w:rsid w:val="00C26C1D"/>
    <w:rsid w:val="00C409F2"/>
    <w:rsid w:val="00C40EFF"/>
    <w:rsid w:val="00C42564"/>
    <w:rsid w:val="00C426BD"/>
    <w:rsid w:val="00C43613"/>
    <w:rsid w:val="00C46458"/>
    <w:rsid w:val="00C50F27"/>
    <w:rsid w:val="00C5202F"/>
    <w:rsid w:val="00C52FD7"/>
    <w:rsid w:val="00C561A1"/>
    <w:rsid w:val="00C57185"/>
    <w:rsid w:val="00C576DE"/>
    <w:rsid w:val="00C57C2D"/>
    <w:rsid w:val="00C601F8"/>
    <w:rsid w:val="00C60374"/>
    <w:rsid w:val="00C61701"/>
    <w:rsid w:val="00C65F10"/>
    <w:rsid w:val="00C674CF"/>
    <w:rsid w:val="00C705FA"/>
    <w:rsid w:val="00C70EEE"/>
    <w:rsid w:val="00C72E0F"/>
    <w:rsid w:val="00C73001"/>
    <w:rsid w:val="00C74CE6"/>
    <w:rsid w:val="00C750F1"/>
    <w:rsid w:val="00C75D0D"/>
    <w:rsid w:val="00C767F3"/>
    <w:rsid w:val="00C77592"/>
    <w:rsid w:val="00C775F0"/>
    <w:rsid w:val="00C77A9D"/>
    <w:rsid w:val="00C77D07"/>
    <w:rsid w:val="00C826A9"/>
    <w:rsid w:val="00C83D7B"/>
    <w:rsid w:val="00C8459E"/>
    <w:rsid w:val="00C86BCB"/>
    <w:rsid w:val="00C920FA"/>
    <w:rsid w:val="00C9220E"/>
    <w:rsid w:val="00C9312C"/>
    <w:rsid w:val="00C93C64"/>
    <w:rsid w:val="00C95490"/>
    <w:rsid w:val="00C959F6"/>
    <w:rsid w:val="00C96F97"/>
    <w:rsid w:val="00C97B27"/>
    <w:rsid w:val="00CA21A3"/>
    <w:rsid w:val="00CA54D2"/>
    <w:rsid w:val="00CA69C5"/>
    <w:rsid w:val="00CB0A5E"/>
    <w:rsid w:val="00CB2000"/>
    <w:rsid w:val="00CB2069"/>
    <w:rsid w:val="00CB2555"/>
    <w:rsid w:val="00CB28AA"/>
    <w:rsid w:val="00CB3D5A"/>
    <w:rsid w:val="00CB621C"/>
    <w:rsid w:val="00CB62B0"/>
    <w:rsid w:val="00CB7057"/>
    <w:rsid w:val="00CC02F2"/>
    <w:rsid w:val="00CC13CF"/>
    <w:rsid w:val="00CC2994"/>
    <w:rsid w:val="00CC2DBD"/>
    <w:rsid w:val="00CC33AC"/>
    <w:rsid w:val="00CC39D0"/>
    <w:rsid w:val="00CC3A27"/>
    <w:rsid w:val="00CC444E"/>
    <w:rsid w:val="00CC69FA"/>
    <w:rsid w:val="00CC6B34"/>
    <w:rsid w:val="00CC7127"/>
    <w:rsid w:val="00CC7C01"/>
    <w:rsid w:val="00CD09B4"/>
    <w:rsid w:val="00CD239D"/>
    <w:rsid w:val="00CD3F1B"/>
    <w:rsid w:val="00CD4F40"/>
    <w:rsid w:val="00CD6EE8"/>
    <w:rsid w:val="00CD7773"/>
    <w:rsid w:val="00CE1024"/>
    <w:rsid w:val="00CE2312"/>
    <w:rsid w:val="00CE52B2"/>
    <w:rsid w:val="00CE5339"/>
    <w:rsid w:val="00CE631A"/>
    <w:rsid w:val="00CE691B"/>
    <w:rsid w:val="00CE7437"/>
    <w:rsid w:val="00CE78B9"/>
    <w:rsid w:val="00CF02C2"/>
    <w:rsid w:val="00CF0BA0"/>
    <w:rsid w:val="00CF1EF4"/>
    <w:rsid w:val="00CF2EEF"/>
    <w:rsid w:val="00CF464F"/>
    <w:rsid w:val="00CF48A1"/>
    <w:rsid w:val="00CF5179"/>
    <w:rsid w:val="00CF57E5"/>
    <w:rsid w:val="00CF5CD9"/>
    <w:rsid w:val="00CF67F1"/>
    <w:rsid w:val="00CF7B7A"/>
    <w:rsid w:val="00D004DE"/>
    <w:rsid w:val="00D01E73"/>
    <w:rsid w:val="00D029A4"/>
    <w:rsid w:val="00D030F7"/>
    <w:rsid w:val="00D0314D"/>
    <w:rsid w:val="00D05F0E"/>
    <w:rsid w:val="00D06A95"/>
    <w:rsid w:val="00D06AAE"/>
    <w:rsid w:val="00D0778D"/>
    <w:rsid w:val="00D1313E"/>
    <w:rsid w:val="00D13DA8"/>
    <w:rsid w:val="00D14DC2"/>
    <w:rsid w:val="00D16244"/>
    <w:rsid w:val="00D1676A"/>
    <w:rsid w:val="00D20FB1"/>
    <w:rsid w:val="00D21084"/>
    <w:rsid w:val="00D223B2"/>
    <w:rsid w:val="00D2261E"/>
    <w:rsid w:val="00D2503E"/>
    <w:rsid w:val="00D2665C"/>
    <w:rsid w:val="00D267E9"/>
    <w:rsid w:val="00D31A22"/>
    <w:rsid w:val="00D31D83"/>
    <w:rsid w:val="00D31F8A"/>
    <w:rsid w:val="00D32CD6"/>
    <w:rsid w:val="00D33E6D"/>
    <w:rsid w:val="00D355AF"/>
    <w:rsid w:val="00D36CF7"/>
    <w:rsid w:val="00D37677"/>
    <w:rsid w:val="00D41566"/>
    <w:rsid w:val="00D4185E"/>
    <w:rsid w:val="00D41F1D"/>
    <w:rsid w:val="00D424F4"/>
    <w:rsid w:val="00D448A6"/>
    <w:rsid w:val="00D50E3E"/>
    <w:rsid w:val="00D515BB"/>
    <w:rsid w:val="00D548EC"/>
    <w:rsid w:val="00D56913"/>
    <w:rsid w:val="00D6062B"/>
    <w:rsid w:val="00D6138B"/>
    <w:rsid w:val="00D61E00"/>
    <w:rsid w:val="00D637DD"/>
    <w:rsid w:val="00D63F5A"/>
    <w:rsid w:val="00D64F78"/>
    <w:rsid w:val="00D66BE2"/>
    <w:rsid w:val="00D704B3"/>
    <w:rsid w:val="00D70B9C"/>
    <w:rsid w:val="00D71AF2"/>
    <w:rsid w:val="00D73671"/>
    <w:rsid w:val="00D74914"/>
    <w:rsid w:val="00D74C71"/>
    <w:rsid w:val="00D76110"/>
    <w:rsid w:val="00D765FC"/>
    <w:rsid w:val="00D77428"/>
    <w:rsid w:val="00D77EC9"/>
    <w:rsid w:val="00D81DC0"/>
    <w:rsid w:val="00D8264B"/>
    <w:rsid w:val="00D83731"/>
    <w:rsid w:val="00D9028D"/>
    <w:rsid w:val="00D91F21"/>
    <w:rsid w:val="00D935CD"/>
    <w:rsid w:val="00D94273"/>
    <w:rsid w:val="00D944A0"/>
    <w:rsid w:val="00D946E9"/>
    <w:rsid w:val="00D965A8"/>
    <w:rsid w:val="00D968BB"/>
    <w:rsid w:val="00DA1173"/>
    <w:rsid w:val="00DA365A"/>
    <w:rsid w:val="00DA5F06"/>
    <w:rsid w:val="00DA600A"/>
    <w:rsid w:val="00DA7EB6"/>
    <w:rsid w:val="00DB01EA"/>
    <w:rsid w:val="00DB1008"/>
    <w:rsid w:val="00DB2502"/>
    <w:rsid w:val="00DB3C90"/>
    <w:rsid w:val="00DB45CC"/>
    <w:rsid w:val="00DB6D11"/>
    <w:rsid w:val="00DB7E41"/>
    <w:rsid w:val="00DC06AC"/>
    <w:rsid w:val="00DC110A"/>
    <w:rsid w:val="00DC1BF6"/>
    <w:rsid w:val="00DC2FDC"/>
    <w:rsid w:val="00DC3A4D"/>
    <w:rsid w:val="00DC4A9B"/>
    <w:rsid w:val="00DC4FA6"/>
    <w:rsid w:val="00DC500F"/>
    <w:rsid w:val="00DC76AE"/>
    <w:rsid w:val="00DD230C"/>
    <w:rsid w:val="00DD2358"/>
    <w:rsid w:val="00DD447E"/>
    <w:rsid w:val="00DD454D"/>
    <w:rsid w:val="00DD4719"/>
    <w:rsid w:val="00DD513B"/>
    <w:rsid w:val="00DD6937"/>
    <w:rsid w:val="00DD6E5B"/>
    <w:rsid w:val="00DD727F"/>
    <w:rsid w:val="00DD7398"/>
    <w:rsid w:val="00DD7997"/>
    <w:rsid w:val="00DE0520"/>
    <w:rsid w:val="00DE0C34"/>
    <w:rsid w:val="00DE2DF3"/>
    <w:rsid w:val="00DE3B31"/>
    <w:rsid w:val="00DE3BA7"/>
    <w:rsid w:val="00DE5384"/>
    <w:rsid w:val="00DE6AB5"/>
    <w:rsid w:val="00DE7014"/>
    <w:rsid w:val="00DE75DA"/>
    <w:rsid w:val="00DE79C5"/>
    <w:rsid w:val="00DF18EC"/>
    <w:rsid w:val="00DF19C0"/>
    <w:rsid w:val="00DF52FA"/>
    <w:rsid w:val="00DF57EF"/>
    <w:rsid w:val="00DF5F3C"/>
    <w:rsid w:val="00DF667F"/>
    <w:rsid w:val="00DF6C28"/>
    <w:rsid w:val="00DF7792"/>
    <w:rsid w:val="00E00AB8"/>
    <w:rsid w:val="00E00B48"/>
    <w:rsid w:val="00E00F55"/>
    <w:rsid w:val="00E0130E"/>
    <w:rsid w:val="00E01675"/>
    <w:rsid w:val="00E02B31"/>
    <w:rsid w:val="00E02CEB"/>
    <w:rsid w:val="00E030EE"/>
    <w:rsid w:val="00E07CC4"/>
    <w:rsid w:val="00E10567"/>
    <w:rsid w:val="00E108C3"/>
    <w:rsid w:val="00E11664"/>
    <w:rsid w:val="00E11F03"/>
    <w:rsid w:val="00E120B6"/>
    <w:rsid w:val="00E120B9"/>
    <w:rsid w:val="00E124D0"/>
    <w:rsid w:val="00E13758"/>
    <w:rsid w:val="00E1381E"/>
    <w:rsid w:val="00E148F3"/>
    <w:rsid w:val="00E1515F"/>
    <w:rsid w:val="00E151DA"/>
    <w:rsid w:val="00E15382"/>
    <w:rsid w:val="00E207BE"/>
    <w:rsid w:val="00E20944"/>
    <w:rsid w:val="00E2203F"/>
    <w:rsid w:val="00E238A2"/>
    <w:rsid w:val="00E23BBB"/>
    <w:rsid w:val="00E24F54"/>
    <w:rsid w:val="00E26404"/>
    <w:rsid w:val="00E3243B"/>
    <w:rsid w:val="00E32FD8"/>
    <w:rsid w:val="00E33232"/>
    <w:rsid w:val="00E335D8"/>
    <w:rsid w:val="00E33694"/>
    <w:rsid w:val="00E33707"/>
    <w:rsid w:val="00E34005"/>
    <w:rsid w:val="00E3521D"/>
    <w:rsid w:val="00E35248"/>
    <w:rsid w:val="00E3663F"/>
    <w:rsid w:val="00E367AE"/>
    <w:rsid w:val="00E37606"/>
    <w:rsid w:val="00E413AB"/>
    <w:rsid w:val="00E43274"/>
    <w:rsid w:val="00E44892"/>
    <w:rsid w:val="00E4665E"/>
    <w:rsid w:val="00E47E75"/>
    <w:rsid w:val="00E52B86"/>
    <w:rsid w:val="00E53F38"/>
    <w:rsid w:val="00E54910"/>
    <w:rsid w:val="00E55FB4"/>
    <w:rsid w:val="00E561C6"/>
    <w:rsid w:val="00E613E4"/>
    <w:rsid w:val="00E64E71"/>
    <w:rsid w:val="00E650E4"/>
    <w:rsid w:val="00E67EC0"/>
    <w:rsid w:val="00E7090F"/>
    <w:rsid w:val="00E73E35"/>
    <w:rsid w:val="00E756D1"/>
    <w:rsid w:val="00E80597"/>
    <w:rsid w:val="00E807BA"/>
    <w:rsid w:val="00E80962"/>
    <w:rsid w:val="00E80F7E"/>
    <w:rsid w:val="00E8164C"/>
    <w:rsid w:val="00E82B5F"/>
    <w:rsid w:val="00E830A6"/>
    <w:rsid w:val="00E83556"/>
    <w:rsid w:val="00E83F3E"/>
    <w:rsid w:val="00E857DA"/>
    <w:rsid w:val="00E908C3"/>
    <w:rsid w:val="00E90C58"/>
    <w:rsid w:val="00E90D94"/>
    <w:rsid w:val="00E90E76"/>
    <w:rsid w:val="00E91EF3"/>
    <w:rsid w:val="00E92817"/>
    <w:rsid w:val="00E92E7E"/>
    <w:rsid w:val="00E93173"/>
    <w:rsid w:val="00E95194"/>
    <w:rsid w:val="00E96F65"/>
    <w:rsid w:val="00EA066E"/>
    <w:rsid w:val="00EA0F8F"/>
    <w:rsid w:val="00EA4C2B"/>
    <w:rsid w:val="00EA524B"/>
    <w:rsid w:val="00EA5BBB"/>
    <w:rsid w:val="00EA5DDF"/>
    <w:rsid w:val="00EA66C0"/>
    <w:rsid w:val="00EA7A53"/>
    <w:rsid w:val="00EB0410"/>
    <w:rsid w:val="00EB06FA"/>
    <w:rsid w:val="00EB0789"/>
    <w:rsid w:val="00EB08C4"/>
    <w:rsid w:val="00EB10A7"/>
    <w:rsid w:val="00EB2328"/>
    <w:rsid w:val="00EB48A2"/>
    <w:rsid w:val="00EB49BC"/>
    <w:rsid w:val="00EB6085"/>
    <w:rsid w:val="00EB6DE7"/>
    <w:rsid w:val="00EB6FB6"/>
    <w:rsid w:val="00EB71F5"/>
    <w:rsid w:val="00EC0FC6"/>
    <w:rsid w:val="00EC197C"/>
    <w:rsid w:val="00EC4AB0"/>
    <w:rsid w:val="00EC5F1A"/>
    <w:rsid w:val="00EC6816"/>
    <w:rsid w:val="00ED4442"/>
    <w:rsid w:val="00ED574F"/>
    <w:rsid w:val="00ED694A"/>
    <w:rsid w:val="00ED76D9"/>
    <w:rsid w:val="00ED77F1"/>
    <w:rsid w:val="00EE19B3"/>
    <w:rsid w:val="00EE2372"/>
    <w:rsid w:val="00EE3343"/>
    <w:rsid w:val="00EF0DF0"/>
    <w:rsid w:val="00EF1559"/>
    <w:rsid w:val="00EF3E61"/>
    <w:rsid w:val="00EF64D9"/>
    <w:rsid w:val="00F017F0"/>
    <w:rsid w:val="00F0291F"/>
    <w:rsid w:val="00F0398D"/>
    <w:rsid w:val="00F0434D"/>
    <w:rsid w:val="00F0449C"/>
    <w:rsid w:val="00F060A4"/>
    <w:rsid w:val="00F06124"/>
    <w:rsid w:val="00F07523"/>
    <w:rsid w:val="00F1269D"/>
    <w:rsid w:val="00F132D8"/>
    <w:rsid w:val="00F16B10"/>
    <w:rsid w:val="00F20BFD"/>
    <w:rsid w:val="00F21810"/>
    <w:rsid w:val="00F222D2"/>
    <w:rsid w:val="00F231AB"/>
    <w:rsid w:val="00F2375D"/>
    <w:rsid w:val="00F23C81"/>
    <w:rsid w:val="00F2489F"/>
    <w:rsid w:val="00F24BB1"/>
    <w:rsid w:val="00F2618E"/>
    <w:rsid w:val="00F27B29"/>
    <w:rsid w:val="00F304EE"/>
    <w:rsid w:val="00F31887"/>
    <w:rsid w:val="00F35671"/>
    <w:rsid w:val="00F3592B"/>
    <w:rsid w:val="00F366CF"/>
    <w:rsid w:val="00F366DA"/>
    <w:rsid w:val="00F400C4"/>
    <w:rsid w:val="00F40A43"/>
    <w:rsid w:val="00F40C76"/>
    <w:rsid w:val="00F40F15"/>
    <w:rsid w:val="00F41539"/>
    <w:rsid w:val="00F41E90"/>
    <w:rsid w:val="00F4398B"/>
    <w:rsid w:val="00F44906"/>
    <w:rsid w:val="00F463F0"/>
    <w:rsid w:val="00F46B42"/>
    <w:rsid w:val="00F4710F"/>
    <w:rsid w:val="00F505B2"/>
    <w:rsid w:val="00F50F45"/>
    <w:rsid w:val="00F53A81"/>
    <w:rsid w:val="00F53E1D"/>
    <w:rsid w:val="00F5434E"/>
    <w:rsid w:val="00F57750"/>
    <w:rsid w:val="00F57D8D"/>
    <w:rsid w:val="00F60D82"/>
    <w:rsid w:val="00F60E88"/>
    <w:rsid w:val="00F60EA7"/>
    <w:rsid w:val="00F617B7"/>
    <w:rsid w:val="00F62BE1"/>
    <w:rsid w:val="00F62DA5"/>
    <w:rsid w:val="00F641A4"/>
    <w:rsid w:val="00F66D0A"/>
    <w:rsid w:val="00F70724"/>
    <w:rsid w:val="00F73B29"/>
    <w:rsid w:val="00F757F6"/>
    <w:rsid w:val="00F75E84"/>
    <w:rsid w:val="00F7655D"/>
    <w:rsid w:val="00F76827"/>
    <w:rsid w:val="00F823B7"/>
    <w:rsid w:val="00F82B69"/>
    <w:rsid w:val="00F8331E"/>
    <w:rsid w:val="00F84984"/>
    <w:rsid w:val="00F84A95"/>
    <w:rsid w:val="00F85193"/>
    <w:rsid w:val="00F85296"/>
    <w:rsid w:val="00F86321"/>
    <w:rsid w:val="00F90437"/>
    <w:rsid w:val="00F91188"/>
    <w:rsid w:val="00F911C5"/>
    <w:rsid w:val="00F9196B"/>
    <w:rsid w:val="00F928A1"/>
    <w:rsid w:val="00F94B1A"/>
    <w:rsid w:val="00F94D75"/>
    <w:rsid w:val="00F9546C"/>
    <w:rsid w:val="00F96738"/>
    <w:rsid w:val="00F96CF9"/>
    <w:rsid w:val="00F97B72"/>
    <w:rsid w:val="00FA10A8"/>
    <w:rsid w:val="00FA1427"/>
    <w:rsid w:val="00FA2B5C"/>
    <w:rsid w:val="00FA45BA"/>
    <w:rsid w:val="00FA4B03"/>
    <w:rsid w:val="00FA5296"/>
    <w:rsid w:val="00FA6368"/>
    <w:rsid w:val="00FA6F2E"/>
    <w:rsid w:val="00FA7BB1"/>
    <w:rsid w:val="00FB1F93"/>
    <w:rsid w:val="00FB2E30"/>
    <w:rsid w:val="00FB48DF"/>
    <w:rsid w:val="00FB4F3E"/>
    <w:rsid w:val="00FB5972"/>
    <w:rsid w:val="00FB632F"/>
    <w:rsid w:val="00FC07D0"/>
    <w:rsid w:val="00FC3256"/>
    <w:rsid w:val="00FC3BAF"/>
    <w:rsid w:val="00FC5824"/>
    <w:rsid w:val="00FC5D22"/>
    <w:rsid w:val="00FC6B7E"/>
    <w:rsid w:val="00FC741D"/>
    <w:rsid w:val="00FD01BA"/>
    <w:rsid w:val="00FD0CA5"/>
    <w:rsid w:val="00FD4012"/>
    <w:rsid w:val="00FD5854"/>
    <w:rsid w:val="00FD713D"/>
    <w:rsid w:val="00FE20F3"/>
    <w:rsid w:val="00FE3F6F"/>
    <w:rsid w:val="00FE3FC8"/>
    <w:rsid w:val="00FE4D45"/>
    <w:rsid w:val="00FE5F0C"/>
    <w:rsid w:val="00FF4F25"/>
    <w:rsid w:val="00FF5079"/>
    <w:rsid w:val="00FF50FB"/>
    <w:rsid w:val="00FF6B57"/>
    <w:rsid w:val="01262A4D"/>
    <w:rsid w:val="0161650D"/>
    <w:rsid w:val="016D1684"/>
    <w:rsid w:val="01944054"/>
    <w:rsid w:val="01B04500"/>
    <w:rsid w:val="01B31E16"/>
    <w:rsid w:val="01D04E93"/>
    <w:rsid w:val="01D7158D"/>
    <w:rsid w:val="01D8699E"/>
    <w:rsid w:val="01DC52B1"/>
    <w:rsid w:val="01EE746E"/>
    <w:rsid w:val="02017DCB"/>
    <w:rsid w:val="022B1E95"/>
    <w:rsid w:val="023A5FFB"/>
    <w:rsid w:val="0256197E"/>
    <w:rsid w:val="026F1FE6"/>
    <w:rsid w:val="027B7754"/>
    <w:rsid w:val="02C0545C"/>
    <w:rsid w:val="02D84F28"/>
    <w:rsid w:val="030D0F8F"/>
    <w:rsid w:val="031B752A"/>
    <w:rsid w:val="03262267"/>
    <w:rsid w:val="033B490A"/>
    <w:rsid w:val="03794AF6"/>
    <w:rsid w:val="039D3BE2"/>
    <w:rsid w:val="03B965CA"/>
    <w:rsid w:val="03D32B17"/>
    <w:rsid w:val="03D64FF9"/>
    <w:rsid w:val="03DF51D8"/>
    <w:rsid w:val="03E46A7F"/>
    <w:rsid w:val="03F30799"/>
    <w:rsid w:val="04245CC6"/>
    <w:rsid w:val="0432090D"/>
    <w:rsid w:val="04475648"/>
    <w:rsid w:val="04506807"/>
    <w:rsid w:val="04714F72"/>
    <w:rsid w:val="04736200"/>
    <w:rsid w:val="047550DB"/>
    <w:rsid w:val="0480214A"/>
    <w:rsid w:val="0484318E"/>
    <w:rsid w:val="04B0361E"/>
    <w:rsid w:val="04EB11FE"/>
    <w:rsid w:val="04EE1776"/>
    <w:rsid w:val="051B544B"/>
    <w:rsid w:val="053640B5"/>
    <w:rsid w:val="05486A95"/>
    <w:rsid w:val="055F06CF"/>
    <w:rsid w:val="05A2203A"/>
    <w:rsid w:val="05B24C07"/>
    <w:rsid w:val="05BE081F"/>
    <w:rsid w:val="05C757C1"/>
    <w:rsid w:val="05E41D15"/>
    <w:rsid w:val="06211E21"/>
    <w:rsid w:val="063F2AE5"/>
    <w:rsid w:val="066D4CE1"/>
    <w:rsid w:val="067B477F"/>
    <w:rsid w:val="068C498F"/>
    <w:rsid w:val="06D53BB9"/>
    <w:rsid w:val="06E74A42"/>
    <w:rsid w:val="07031F83"/>
    <w:rsid w:val="072F720E"/>
    <w:rsid w:val="073F25B6"/>
    <w:rsid w:val="07477166"/>
    <w:rsid w:val="07504230"/>
    <w:rsid w:val="078253F5"/>
    <w:rsid w:val="07A2518C"/>
    <w:rsid w:val="07A357FE"/>
    <w:rsid w:val="07C70A58"/>
    <w:rsid w:val="080169B3"/>
    <w:rsid w:val="08207AF6"/>
    <w:rsid w:val="085F2844"/>
    <w:rsid w:val="08705E11"/>
    <w:rsid w:val="088A0411"/>
    <w:rsid w:val="08B00A92"/>
    <w:rsid w:val="08C33C1A"/>
    <w:rsid w:val="08C74F07"/>
    <w:rsid w:val="08D84396"/>
    <w:rsid w:val="09010D19"/>
    <w:rsid w:val="09431C6A"/>
    <w:rsid w:val="094927F4"/>
    <w:rsid w:val="095728A7"/>
    <w:rsid w:val="097A15A5"/>
    <w:rsid w:val="097B69AA"/>
    <w:rsid w:val="0A01649D"/>
    <w:rsid w:val="0A1B2F95"/>
    <w:rsid w:val="0A323123"/>
    <w:rsid w:val="0A404975"/>
    <w:rsid w:val="0A447109"/>
    <w:rsid w:val="0A505CB5"/>
    <w:rsid w:val="0A600A2A"/>
    <w:rsid w:val="0A6157BC"/>
    <w:rsid w:val="0A870ACB"/>
    <w:rsid w:val="0A8A634D"/>
    <w:rsid w:val="0A93098D"/>
    <w:rsid w:val="0ABC6CD0"/>
    <w:rsid w:val="0AFB6637"/>
    <w:rsid w:val="0B0B71FB"/>
    <w:rsid w:val="0B0C7351"/>
    <w:rsid w:val="0B1D6FB2"/>
    <w:rsid w:val="0B5770F6"/>
    <w:rsid w:val="0B7A1E23"/>
    <w:rsid w:val="0BC71450"/>
    <w:rsid w:val="0BC86BCC"/>
    <w:rsid w:val="0BD3774E"/>
    <w:rsid w:val="0BE923B6"/>
    <w:rsid w:val="0BFD0227"/>
    <w:rsid w:val="0C0A5D32"/>
    <w:rsid w:val="0C3C1AF2"/>
    <w:rsid w:val="0C406E0F"/>
    <w:rsid w:val="0C490150"/>
    <w:rsid w:val="0C4C7806"/>
    <w:rsid w:val="0C555206"/>
    <w:rsid w:val="0C654F6B"/>
    <w:rsid w:val="0CA60F8C"/>
    <w:rsid w:val="0CAA54C3"/>
    <w:rsid w:val="0CB3607A"/>
    <w:rsid w:val="0CE210A5"/>
    <w:rsid w:val="0CF4794F"/>
    <w:rsid w:val="0CFB5904"/>
    <w:rsid w:val="0D28396F"/>
    <w:rsid w:val="0D462C02"/>
    <w:rsid w:val="0D4865F8"/>
    <w:rsid w:val="0D5E4110"/>
    <w:rsid w:val="0D9E1D82"/>
    <w:rsid w:val="0DCD4866"/>
    <w:rsid w:val="0DF00FC3"/>
    <w:rsid w:val="0E1E0E21"/>
    <w:rsid w:val="0E3A25E6"/>
    <w:rsid w:val="0E413A70"/>
    <w:rsid w:val="0E487F11"/>
    <w:rsid w:val="0E5E4C01"/>
    <w:rsid w:val="0E75179E"/>
    <w:rsid w:val="0E764519"/>
    <w:rsid w:val="0E8148E9"/>
    <w:rsid w:val="0EA04BBD"/>
    <w:rsid w:val="0EA66AFA"/>
    <w:rsid w:val="0EFC36E5"/>
    <w:rsid w:val="0F012521"/>
    <w:rsid w:val="0F293B2D"/>
    <w:rsid w:val="0F4245AA"/>
    <w:rsid w:val="0F4944C8"/>
    <w:rsid w:val="0F856D7C"/>
    <w:rsid w:val="0FA40C66"/>
    <w:rsid w:val="0FBA1C19"/>
    <w:rsid w:val="0FD72864"/>
    <w:rsid w:val="0FE76BBC"/>
    <w:rsid w:val="1012149F"/>
    <w:rsid w:val="1050255E"/>
    <w:rsid w:val="10800731"/>
    <w:rsid w:val="108A6DCE"/>
    <w:rsid w:val="1099262B"/>
    <w:rsid w:val="10BD2C31"/>
    <w:rsid w:val="10E72B9F"/>
    <w:rsid w:val="10EE7DD4"/>
    <w:rsid w:val="10F11000"/>
    <w:rsid w:val="10F82D2F"/>
    <w:rsid w:val="11174D13"/>
    <w:rsid w:val="111928D1"/>
    <w:rsid w:val="11245A43"/>
    <w:rsid w:val="11271609"/>
    <w:rsid w:val="113A53C4"/>
    <w:rsid w:val="11423E5F"/>
    <w:rsid w:val="114C29E8"/>
    <w:rsid w:val="11512744"/>
    <w:rsid w:val="1154104B"/>
    <w:rsid w:val="117E6776"/>
    <w:rsid w:val="119105B0"/>
    <w:rsid w:val="120E1EDE"/>
    <w:rsid w:val="121E30E7"/>
    <w:rsid w:val="12334244"/>
    <w:rsid w:val="1243265A"/>
    <w:rsid w:val="124A7543"/>
    <w:rsid w:val="12521F00"/>
    <w:rsid w:val="12546914"/>
    <w:rsid w:val="125760D4"/>
    <w:rsid w:val="12CC0349"/>
    <w:rsid w:val="12F94796"/>
    <w:rsid w:val="13161848"/>
    <w:rsid w:val="132728CD"/>
    <w:rsid w:val="133A31A2"/>
    <w:rsid w:val="13537CEC"/>
    <w:rsid w:val="137204BA"/>
    <w:rsid w:val="13767B3A"/>
    <w:rsid w:val="13815D15"/>
    <w:rsid w:val="138A48B6"/>
    <w:rsid w:val="1390642F"/>
    <w:rsid w:val="13A17D25"/>
    <w:rsid w:val="13BA35BF"/>
    <w:rsid w:val="13D02B8C"/>
    <w:rsid w:val="13D659BD"/>
    <w:rsid w:val="13E50981"/>
    <w:rsid w:val="13FE0DFE"/>
    <w:rsid w:val="14151EEA"/>
    <w:rsid w:val="142B2AFA"/>
    <w:rsid w:val="145835BA"/>
    <w:rsid w:val="14794309"/>
    <w:rsid w:val="14825712"/>
    <w:rsid w:val="14941145"/>
    <w:rsid w:val="14A718D6"/>
    <w:rsid w:val="14A91555"/>
    <w:rsid w:val="14D47AB7"/>
    <w:rsid w:val="14E453C8"/>
    <w:rsid w:val="152D47C3"/>
    <w:rsid w:val="153214D2"/>
    <w:rsid w:val="155B529C"/>
    <w:rsid w:val="15625511"/>
    <w:rsid w:val="158D6722"/>
    <w:rsid w:val="16021394"/>
    <w:rsid w:val="160E0808"/>
    <w:rsid w:val="16492A93"/>
    <w:rsid w:val="1649386D"/>
    <w:rsid w:val="16E425C9"/>
    <w:rsid w:val="170E6D43"/>
    <w:rsid w:val="17292C6A"/>
    <w:rsid w:val="17294A6D"/>
    <w:rsid w:val="17322B53"/>
    <w:rsid w:val="17343D68"/>
    <w:rsid w:val="1734459D"/>
    <w:rsid w:val="17786ED9"/>
    <w:rsid w:val="178B60C6"/>
    <w:rsid w:val="17B16E03"/>
    <w:rsid w:val="17B46B20"/>
    <w:rsid w:val="17B63240"/>
    <w:rsid w:val="17BD582B"/>
    <w:rsid w:val="17CE447E"/>
    <w:rsid w:val="17D41B31"/>
    <w:rsid w:val="17EF76D3"/>
    <w:rsid w:val="18067269"/>
    <w:rsid w:val="181B18E0"/>
    <w:rsid w:val="185F4419"/>
    <w:rsid w:val="1889233A"/>
    <w:rsid w:val="189C62C6"/>
    <w:rsid w:val="18A90BB8"/>
    <w:rsid w:val="18D94284"/>
    <w:rsid w:val="18FF4C70"/>
    <w:rsid w:val="19617621"/>
    <w:rsid w:val="196E0DDB"/>
    <w:rsid w:val="1972591D"/>
    <w:rsid w:val="19761650"/>
    <w:rsid w:val="197E5D58"/>
    <w:rsid w:val="19802E78"/>
    <w:rsid w:val="1982352D"/>
    <w:rsid w:val="19A16964"/>
    <w:rsid w:val="19A86598"/>
    <w:rsid w:val="19AE1969"/>
    <w:rsid w:val="19B87DC1"/>
    <w:rsid w:val="1A28357B"/>
    <w:rsid w:val="1A313A49"/>
    <w:rsid w:val="1A6D701B"/>
    <w:rsid w:val="1A6E4AE1"/>
    <w:rsid w:val="1A9803C7"/>
    <w:rsid w:val="1B1C4D29"/>
    <w:rsid w:val="1B240EAD"/>
    <w:rsid w:val="1B25070F"/>
    <w:rsid w:val="1B2F721F"/>
    <w:rsid w:val="1B5B2C64"/>
    <w:rsid w:val="1B6953CB"/>
    <w:rsid w:val="1BC15DD7"/>
    <w:rsid w:val="1BD50603"/>
    <w:rsid w:val="1BDC1602"/>
    <w:rsid w:val="1BF95799"/>
    <w:rsid w:val="1C340624"/>
    <w:rsid w:val="1C4055EE"/>
    <w:rsid w:val="1C9D505E"/>
    <w:rsid w:val="1CA26601"/>
    <w:rsid w:val="1CBD66FD"/>
    <w:rsid w:val="1CE5512D"/>
    <w:rsid w:val="1D4D223A"/>
    <w:rsid w:val="1D636647"/>
    <w:rsid w:val="1D715A06"/>
    <w:rsid w:val="1D7F24F1"/>
    <w:rsid w:val="1D8A4DF3"/>
    <w:rsid w:val="1D8D6749"/>
    <w:rsid w:val="1DBB2D63"/>
    <w:rsid w:val="1DC6123C"/>
    <w:rsid w:val="1DDF4451"/>
    <w:rsid w:val="1DE61A43"/>
    <w:rsid w:val="1E233BB0"/>
    <w:rsid w:val="1E312728"/>
    <w:rsid w:val="1E362239"/>
    <w:rsid w:val="1E385716"/>
    <w:rsid w:val="1E4303C2"/>
    <w:rsid w:val="1E6418CC"/>
    <w:rsid w:val="1EB308C1"/>
    <w:rsid w:val="1EF95415"/>
    <w:rsid w:val="1EFE6E0C"/>
    <w:rsid w:val="1F101ABE"/>
    <w:rsid w:val="1F3D6927"/>
    <w:rsid w:val="1F405F69"/>
    <w:rsid w:val="1F631378"/>
    <w:rsid w:val="1F687919"/>
    <w:rsid w:val="1F76202E"/>
    <w:rsid w:val="1F8F7E5C"/>
    <w:rsid w:val="1F940CAD"/>
    <w:rsid w:val="1FAB0BDF"/>
    <w:rsid w:val="1FAF701D"/>
    <w:rsid w:val="1FBD20EF"/>
    <w:rsid w:val="1FCC7D6F"/>
    <w:rsid w:val="1FCD656B"/>
    <w:rsid w:val="1FD034F3"/>
    <w:rsid w:val="1FF90C14"/>
    <w:rsid w:val="205273BB"/>
    <w:rsid w:val="206A1A63"/>
    <w:rsid w:val="20746D43"/>
    <w:rsid w:val="208B7B0B"/>
    <w:rsid w:val="20AB27E2"/>
    <w:rsid w:val="20AC4511"/>
    <w:rsid w:val="20BB1D78"/>
    <w:rsid w:val="21021B32"/>
    <w:rsid w:val="21154190"/>
    <w:rsid w:val="21186188"/>
    <w:rsid w:val="2158729D"/>
    <w:rsid w:val="216A15EA"/>
    <w:rsid w:val="21D63C74"/>
    <w:rsid w:val="21E24AD8"/>
    <w:rsid w:val="221C1DEB"/>
    <w:rsid w:val="222C61A7"/>
    <w:rsid w:val="222F72C5"/>
    <w:rsid w:val="225228A9"/>
    <w:rsid w:val="22703B15"/>
    <w:rsid w:val="227A2AF3"/>
    <w:rsid w:val="228D497D"/>
    <w:rsid w:val="22AC60C8"/>
    <w:rsid w:val="22DE3259"/>
    <w:rsid w:val="22F00967"/>
    <w:rsid w:val="22FA4207"/>
    <w:rsid w:val="236408D1"/>
    <w:rsid w:val="237B60CA"/>
    <w:rsid w:val="2387122C"/>
    <w:rsid w:val="23910BEF"/>
    <w:rsid w:val="23CD0084"/>
    <w:rsid w:val="23DB492D"/>
    <w:rsid w:val="23E4680B"/>
    <w:rsid w:val="2400516C"/>
    <w:rsid w:val="24085A4F"/>
    <w:rsid w:val="240F4B2A"/>
    <w:rsid w:val="241A4A05"/>
    <w:rsid w:val="242A0E1D"/>
    <w:rsid w:val="243C1AFE"/>
    <w:rsid w:val="24725679"/>
    <w:rsid w:val="24CE030D"/>
    <w:rsid w:val="24DC3EAB"/>
    <w:rsid w:val="25121BF8"/>
    <w:rsid w:val="253C4217"/>
    <w:rsid w:val="255C2AE1"/>
    <w:rsid w:val="255F2490"/>
    <w:rsid w:val="25D453E1"/>
    <w:rsid w:val="26075B0A"/>
    <w:rsid w:val="260F4462"/>
    <w:rsid w:val="26223D84"/>
    <w:rsid w:val="264819A1"/>
    <w:rsid w:val="264A5833"/>
    <w:rsid w:val="265C1513"/>
    <w:rsid w:val="2660039C"/>
    <w:rsid w:val="26606D38"/>
    <w:rsid w:val="2664671C"/>
    <w:rsid w:val="26857903"/>
    <w:rsid w:val="26AE6FED"/>
    <w:rsid w:val="26BA5FBA"/>
    <w:rsid w:val="26CC79CE"/>
    <w:rsid w:val="26E55A24"/>
    <w:rsid w:val="26E663EF"/>
    <w:rsid w:val="26F93E83"/>
    <w:rsid w:val="270F6ADD"/>
    <w:rsid w:val="273A478E"/>
    <w:rsid w:val="2741519C"/>
    <w:rsid w:val="275A5444"/>
    <w:rsid w:val="27630099"/>
    <w:rsid w:val="276341AD"/>
    <w:rsid w:val="27683AE1"/>
    <w:rsid w:val="27A978EC"/>
    <w:rsid w:val="27B76B5A"/>
    <w:rsid w:val="27BF2F68"/>
    <w:rsid w:val="27CA6D83"/>
    <w:rsid w:val="27E12375"/>
    <w:rsid w:val="28136A8E"/>
    <w:rsid w:val="28237309"/>
    <w:rsid w:val="284847EE"/>
    <w:rsid w:val="28634B37"/>
    <w:rsid w:val="28844922"/>
    <w:rsid w:val="28863150"/>
    <w:rsid w:val="288F6E9F"/>
    <w:rsid w:val="28FE1EAD"/>
    <w:rsid w:val="29082B64"/>
    <w:rsid w:val="291A5959"/>
    <w:rsid w:val="291C0F62"/>
    <w:rsid w:val="292C0E9A"/>
    <w:rsid w:val="293E4722"/>
    <w:rsid w:val="295E313D"/>
    <w:rsid w:val="29726862"/>
    <w:rsid w:val="298E7379"/>
    <w:rsid w:val="29A41DBC"/>
    <w:rsid w:val="29C158BA"/>
    <w:rsid w:val="29E01545"/>
    <w:rsid w:val="29F84E47"/>
    <w:rsid w:val="2A0C7713"/>
    <w:rsid w:val="2A1D79BB"/>
    <w:rsid w:val="2A3E75AD"/>
    <w:rsid w:val="2A972E22"/>
    <w:rsid w:val="2ABF3381"/>
    <w:rsid w:val="2AD670DC"/>
    <w:rsid w:val="2ADE7F85"/>
    <w:rsid w:val="2AF94DA4"/>
    <w:rsid w:val="2B1B7216"/>
    <w:rsid w:val="2B3F1BB4"/>
    <w:rsid w:val="2B651481"/>
    <w:rsid w:val="2B9202F5"/>
    <w:rsid w:val="2B92349B"/>
    <w:rsid w:val="2B963DEC"/>
    <w:rsid w:val="2B9F3F88"/>
    <w:rsid w:val="2BA47FE1"/>
    <w:rsid w:val="2BAC310F"/>
    <w:rsid w:val="2BEF52F3"/>
    <w:rsid w:val="2C0C0ED2"/>
    <w:rsid w:val="2C1852E4"/>
    <w:rsid w:val="2C8B1289"/>
    <w:rsid w:val="2CC16B39"/>
    <w:rsid w:val="2CEA64D5"/>
    <w:rsid w:val="2CEC49A4"/>
    <w:rsid w:val="2CF43625"/>
    <w:rsid w:val="2D1437B2"/>
    <w:rsid w:val="2D1903E2"/>
    <w:rsid w:val="2D1E3173"/>
    <w:rsid w:val="2D3421AB"/>
    <w:rsid w:val="2D3C4EF7"/>
    <w:rsid w:val="2D550B77"/>
    <w:rsid w:val="2E4269B1"/>
    <w:rsid w:val="2E6618E5"/>
    <w:rsid w:val="2EA1006E"/>
    <w:rsid w:val="2EA25052"/>
    <w:rsid w:val="2EAF48C6"/>
    <w:rsid w:val="2EB952AC"/>
    <w:rsid w:val="2EE8623C"/>
    <w:rsid w:val="2EEC7E83"/>
    <w:rsid w:val="2EF335AC"/>
    <w:rsid w:val="2F043748"/>
    <w:rsid w:val="2F0B30A1"/>
    <w:rsid w:val="2F4B243D"/>
    <w:rsid w:val="2F522711"/>
    <w:rsid w:val="2F806B20"/>
    <w:rsid w:val="2F867577"/>
    <w:rsid w:val="2F9034C9"/>
    <w:rsid w:val="2FB70894"/>
    <w:rsid w:val="2FE7047C"/>
    <w:rsid w:val="2FF80391"/>
    <w:rsid w:val="301D5D54"/>
    <w:rsid w:val="30370228"/>
    <w:rsid w:val="3044147F"/>
    <w:rsid w:val="30690741"/>
    <w:rsid w:val="306E1479"/>
    <w:rsid w:val="30750496"/>
    <w:rsid w:val="307B30AF"/>
    <w:rsid w:val="30956EBE"/>
    <w:rsid w:val="30C022A0"/>
    <w:rsid w:val="30C3381E"/>
    <w:rsid w:val="30D77998"/>
    <w:rsid w:val="31403EBD"/>
    <w:rsid w:val="31472444"/>
    <w:rsid w:val="319A7585"/>
    <w:rsid w:val="31A81316"/>
    <w:rsid w:val="31C330CE"/>
    <w:rsid w:val="31D32D7D"/>
    <w:rsid w:val="31D42917"/>
    <w:rsid w:val="32282E69"/>
    <w:rsid w:val="3237025A"/>
    <w:rsid w:val="32B1690A"/>
    <w:rsid w:val="32B44A46"/>
    <w:rsid w:val="32B73C26"/>
    <w:rsid w:val="32CF12F7"/>
    <w:rsid w:val="3309466A"/>
    <w:rsid w:val="331329E4"/>
    <w:rsid w:val="33366BF9"/>
    <w:rsid w:val="333A68C8"/>
    <w:rsid w:val="334350DC"/>
    <w:rsid w:val="334607E7"/>
    <w:rsid w:val="335465E4"/>
    <w:rsid w:val="33756B32"/>
    <w:rsid w:val="33AB3374"/>
    <w:rsid w:val="33B142B7"/>
    <w:rsid w:val="33BE20D0"/>
    <w:rsid w:val="34136F86"/>
    <w:rsid w:val="34582372"/>
    <w:rsid w:val="347822F5"/>
    <w:rsid w:val="347C6B46"/>
    <w:rsid w:val="347D5B72"/>
    <w:rsid w:val="348C61C4"/>
    <w:rsid w:val="34BD7940"/>
    <w:rsid w:val="34BE5CAA"/>
    <w:rsid w:val="34D23867"/>
    <w:rsid w:val="34D4348E"/>
    <w:rsid w:val="34FD3310"/>
    <w:rsid w:val="353E4EE3"/>
    <w:rsid w:val="3587410B"/>
    <w:rsid w:val="358C4A8A"/>
    <w:rsid w:val="3596698E"/>
    <w:rsid w:val="359E03A3"/>
    <w:rsid w:val="35CD7559"/>
    <w:rsid w:val="35DB00BD"/>
    <w:rsid w:val="35DC7BA6"/>
    <w:rsid w:val="360B4E8E"/>
    <w:rsid w:val="36270398"/>
    <w:rsid w:val="363D08CC"/>
    <w:rsid w:val="36490D51"/>
    <w:rsid w:val="367C559F"/>
    <w:rsid w:val="369030E0"/>
    <w:rsid w:val="36932551"/>
    <w:rsid w:val="369F6D06"/>
    <w:rsid w:val="36AB1CEE"/>
    <w:rsid w:val="36CB3291"/>
    <w:rsid w:val="36D90A1F"/>
    <w:rsid w:val="36E6312A"/>
    <w:rsid w:val="37007ED9"/>
    <w:rsid w:val="37433B9B"/>
    <w:rsid w:val="377F6D96"/>
    <w:rsid w:val="37BA1243"/>
    <w:rsid w:val="37BA4BDF"/>
    <w:rsid w:val="37BB216B"/>
    <w:rsid w:val="37BC719F"/>
    <w:rsid w:val="37E6496D"/>
    <w:rsid w:val="37FF4CEF"/>
    <w:rsid w:val="381973C0"/>
    <w:rsid w:val="383343FC"/>
    <w:rsid w:val="38676C8B"/>
    <w:rsid w:val="386801E6"/>
    <w:rsid w:val="38792449"/>
    <w:rsid w:val="387C2B0E"/>
    <w:rsid w:val="389C3258"/>
    <w:rsid w:val="38A3130A"/>
    <w:rsid w:val="38A5476C"/>
    <w:rsid w:val="38C01FCA"/>
    <w:rsid w:val="38CB7E89"/>
    <w:rsid w:val="38D01637"/>
    <w:rsid w:val="38D03369"/>
    <w:rsid w:val="38D4251F"/>
    <w:rsid w:val="38DC46AE"/>
    <w:rsid w:val="38E451C2"/>
    <w:rsid w:val="390312A2"/>
    <w:rsid w:val="394D7C2B"/>
    <w:rsid w:val="3952595F"/>
    <w:rsid w:val="39650E24"/>
    <w:rsid w:val="397D387E"/>
    <w:rsid w:val="398C5E72"/>
    <w:rsid w:val="39C96790"/>
    <w:rsid w:val="39CB3DA8"/>
    <w:rsid w:val="39CF6825"/>
    <w:rsid w:val="39E65057"/>
    <w:rsid w:val="39F97ED3"/>
    <w:rsid w:val="3A042116"/>
    <w:rsid w:val="3A087D52"/>
    <w:rsid w:val="3A101B16"/>
    <w:rsid w:val="3A176550"/>
    <w:rsid w:val="3A2B22F7"/>
    <w:rsid w:val="3A630BD5"/>
    <w:rsid w:val="3ACA4946"/>
    <w:rsid w:val="3AD3624B"/>
    <w:rsid w:val="3AEA2A44"/>
    <w:rsid w:val="3AFF2C90"/>
    <w:rsid w:val="3AFF4A73"/>
    <w:rsid w:val="3B134AFB"/>
    <w:rsid w:val="3B1523C6"/>
    <w:rsid w:val="3B18752E"/>
    <w:rsid w:val="3B1D1019"/>
    <w:rsid w:val="3B207C1A"/>
    <w:rsid w:val="3B241DBA"/>
    <w:rsid w:val="3B3C0357"/>
    <w:rsid w:val="3B5312FC"/>
    <w:rsid w:val="3B703897"/>
    <w:rsid w:val="3B8F4DE7"/>
    <w:rsid w:val="3B92496B"/>
    <w:rsid w:val="3B9B2504"/>
    <w:rsid w:val="3BB368FC"/>
    <w:rsid w:val="3BC232AE"/>
    <w:rsid w:val="3BD115E3"/>
    <w:rsid w:val="3BF27BCF"/>
    <w:rsid w:val="3BFF69F6"/>
    <w:rsid w:val="3C29301A"/>
    <w:rsid w:val="3C2A1CC6"/>
    <w:rsid w:val="3C2A3907"/>
    <w:rsid w:val="3C362055"/>
    <w:rsid w:val="3C5B5487"/>
    <w:rsid w:val="3C805A69"/>
    <w:rsid w:val="3C82673E"/>
    <w:rsid w:val="3C890B40"/>
    <w:rsid w:val="3C9A75CD"/>
    <w:rsid w:val="3CA662E8"/>
    <w:rsid w:val="3CAC5196"/>
    <w:rsid w:val="3CBA6CAE"/>
    <w:rsid w:val="3CE257BB"/>
    <w:rsid w:val="3D2A52D3"/>
    <w:rsid w:val="3D347300"/>
    <w:rsid w:val="3D371CE2"/>
    <w:rsid w:val="3D4C44DA"/>
    <w:rsid w:val="3D4E29CB"/>
    <w:rsid w:val="3D780066"/>
    <w:rsid w:val="3DC37E52"/>
    <w:rsid w:val="3DE30437"/>
    <w:rsid w:val="3DE50A89"/>
    <w:rsid w:val="3DEF2AAF"/>
    <w:rsid w:val="3E03718C"/>
    <w:rsid w:val="3E400433"/>
    <w:rsid w:val="3E42243E"/>
    <w:rsid w:val="3E48647A"/>
    <w:rsid w:val="3E5A1D55"/>
    <w:rsid w:val="3E5C1C90"/>
    <w:rsid w:val="3E680ED2"/>
    <w:rsid w:val="3EB916EC"/>
    <w:rsid w:val="3ECA01A1"/>
    <w:rsid w:val="3ED55C02"/>
    <w:rsid w:val="3F063EFF"/>
    <w:rsid w:val="3F095A8D"/>
    <w:rsid w:val="3F100D38"/>
    <w:rsid w:val="3F15473E"/>
    <w:rsid w:val="3F1B4431"/>
    <w:rsid w:val="3F5844C5"/>
    <w:rsid w:val="3F8C60CE"/>
    <w:rsid w:val="3FA118A5"/>
    <w:rsid w:val="3FC7317D"/>
    <w:rsid w:val="3FEF086B"/>
    <w:rsid w:val="3FF74BF3"/>
    <w:rsid w:val="400C09CA"/>
    <w:rsid w:val="400F0985"/>
    <w:rsid w:val="40286715"/>
    <w:rsid w:val="40354C7B"/>
    <w:rsid w:val="40380095"/>
    <w:rsid w:val="403C7F31"/>
    <w:rsid w:val="40577FC9"/>
    <w:rsid w:val="40F5414B"/>
    <w:rsid w:val="40FF4AF1"/>
    <w:rsid w:val="41124EE6"/>
    <w:rsid w:val="411C1436"/>
    <w:rsid w:val="412F3326"/>
    <w:rsid w:val="414B7682"/>
    <w:rsid w:val="415228BA"/>
    <w:rsid w:val="41760D1B"/>
    <w:rsid w:val="417C58E1"/>
    <w:rsid w:val="41A814A5"/>
    <w:rsid w:val="41AB3120"/>
    <w:rsid w:val="41F84FF7"/>
    <w:rsid w:val="42A0234B"/>
    <w:rsid w:val="42B86496"/>
    <w:rsid w:val="42C35217"/>
    <w:rsid w:val="42D7188C"/>
    <w:rsid w:val="42E81CAF"/>
    <w:rsid w:val="43023750"/>
    <w:rsid w:val="430516EA"/>
    <w:rsid w:val="430B1EFC"/>
    <w:rsid w:val="4317322A"/>
    <w:rsid w:val="432E6D6F"/>
    <w:rsid w:val="43305C80"/>
    <w:rsid w:val="435412B8"/>
    <w:rsid w:val="43666252"/>
    <w:rsid w:val="43783D27"/>
    <w:rsid w:val="4390141C"/>
    <w:rsid w:val="43912E12"/>
    <w:rsid w:val="43B5765B"/>
    <w:rsid w:val="445648C3"/>
    <w:rsid w:val="44647472"/>
    <w:rsid w:val="44666302"/>
    <w:rsid w:val="44A70428"/>
    <w:rsid w:val="44A72F03"/>
    <w:rsid w:val="45022B85"/>
    <w:rsid w:val="45022D5F"/>
    <w:rsid w:val="45190D07"/>
    <w:rsid w:val="451E281E"/>
    <w:rsid w:val="452A085B"/>
    <w:rsid w:val="452C72B7"/>
    <w:rsid w:val="45420324"/>
    <w:rsid w:val="45571DF7"/>
    <w:rsid w:val="455E25D1"/>
    <w:rsid w:val="455E6ACE"/>
    <w:rsid w:val="4563705D"/>
    <w:rsid w:val="4567238D"/>
    <w:rsid w:val="45904ACF"/>
    <w:rsid w:val="45B10782"/>
    <w:rsid w:val="45CC05D8"/>
    <w:rsid w:val="45F95B4D"/>
    <w:rsid w:val="460452A0"/>
    <w:rsid w:val="46135F32"/>
    <w:rsid w:val="46262176"/>
    <w:rsid w:val="464F5CAD"/>
    <w:rsid w:val="4680445C"/>
    <w:rsid w:val="468E4477"/>
    <w:rsid w:val="46911CEA"/>
    <w:rsid w:val="46922D19"/>
    <w:rsid w:val="46DB5B28"/>
    <w:rsid w:val="46DE7987"/>
    <w:rsid w:val="47176D8E"/>
    <w:rsid w:val="4742191A"/>
    <w:rsid w:val="474E1E6C"/>
    <w:rsid w:val="47BD2E26"/>
    <w:rsid w:val="47C460CD"/>
    <w:rsid w:val="47D94B88"/>
    <w:rsid w:val="47ED7CEE"/>
    <w:rsid w:val="483C4B9E"/>
    <w:rsid w:val="48447159"/>
    <w:rsid w:val="48677222"/>
    <w:rsid w:val="486977C7"/>
    <w:rsid w:val="48A56E07"/>
    <w:rsid w:val="48B927F9"/>
    <w:rsid w:val="48D46BC0"/>
    <w:rsid w:val="48E25783"/>
    <w:rsid w:val="48E55B55"/>
    <w:rsid w:val="490B6C14"/>
    <w:rsid w:val="49343FC1"/>
    <w:rsid w:val="49626EB7"/>
    <w:rsid w:val="49742590"/>
    <w:rsid w:val="497547CF"/>
    <w:rsid w:val="49D87E02"/>
    <w:rsid w:val="49DA4936"/>
    <w:rsid w:val="49E1067B"/>
    <w:rsid w:val="49E65E9A"/>
    <w:rsid w:val="49F038BD"/>
    <w:rsid w:val="4A0C6576"/>
    <w:rsid w:val="4A131739"/>
    <w:rsid w:val="4A3F1C6E"/>
    <w:rsid w:val="4A42520C"/>
    <w:rsid w:val="4A5C7A81"/>
    <w:rsid w:val="4A7953F9"/>
    <w:rsid w:val="4A7F7023"/>
    <w:rsid w:val="4A833CCA"/>
    <w:rsid w:val="4A9B20E2"/>
    <w:rsid w:val="4AA27E36"/>
    <w:rsid w:val="4ADF6DFE"/>
    <w:rsid w:val="4ADF7733"/>
    <w:rsid w:val="4AF220B2"/>
    <w:rsid w:val="4B0D3F9B"/>
    <w:rsid w:val="4B1469C0"/>
    <w:rsid w:val="4B2765EA"/>
    <w:rsid w:val="4B2B6CF9"/>
    <w:rsid w:val="4B321EE0"/>
    <w:rsid w:val="4B6005EF"/>
    <w:rsid w:val="4B7F3FBA"/>
    <w:rsid w:val="4B8116B3"/>
    <w:rsid w:val="4B8128F4"/>
    <w:rsid w:val="4B83292A"/>
    <w:rsid w:val="4BD52A4E"/>
    <w:rsid w:val="4BEC5326"/>
    <w:rsid w:val="4C1A29A2"/>
    <w:rsid w:val="4C242FF7"/>
    <w:rsid w:val="4C6267F5"/>
    <w:rsid w:val="4C755D10"/>
    <w:rsid w:val="4CB85404"/>
    <w:rsid w:val="4CC42BA6"/>
    <w:rsid w:val="4CD452CB"/>
    <w:rsid w:val="4CEB1DC3"/>
    <w:rsid w:val="4D04384B"/>
    <w:rsid w:val="4D2D65AC"/>
    <w:rsid w:val="4D3223EC"/>
    <w:rsid w:val="4D7057DD"/>
    <w:rsid w:val="4D98120C"/>
    <w:rsid w:val="4DA402B8"/>
    <w:rsid w:val="4DC32884"/>
    <w:rsid w:val="4DD6144E"/>
    <w:rsid w:val="4DD64716"/>
    <w:rsid w:val="4DE37B55"/>
    <w:rsid w:val="4DF54F33"/>
    <w:rsid w:val="4DF83ADA"/>
    <w:rsid w:val="4DFE7DDE"/>
    <w:rsid w:val="4E472E47"/>
    <w:rsid w:val="4E4B4187"/>
    <w:rsid w:val="4E4E2195"/>
    <w:rsid w:val="4E581E19"/>
    <w:rsid w:val="4E797966"/>
    <w:rsid w:val="4E896E0B"/>
    <w:rsid w:val="4E897021"/>
    <w:rsid w:val="4E962538"/>
    <w:rsid w:val="4EA0534F"/>
    <w:rsid w:val="4EBD7110"/>
    <w:rsid w:val="4EDB02A0"/>
    <w:rsid w:val="4F074EBE"/>
    <w:rsid w:val="4F490012"/>
    <w:rsid w:val="4F55325D"/>
    <w:rsid w:val="4F655F44"/>
    <w:rsid w:val="4FAA7C31"/>
    <w:rsid w:val="4FC75E86"/>
    <w:rsid w:val="4FC9625A"/>
    <w:rsid w:val="4FD219BF"/>
    <w:rsid w:val="4FDD7954"/>
    <w:rsid w:val="4FE40265"/>
    <w:rsid w:val="4FF73DCE"/>
    <w:rsid w:val="50265478"/>
    <w:rsid w:val="502D5AAE"/>
    <w:rsid w:val="502E108E"/>
    <w:rsid w:val="5038327F"/>
    <w:rsid w:val="504F5FB3"/>
    <w:rsid w:val="505F01DE"/>
    <w:rsid w:val="507F2019"/>
    <w:rsid w:val="5085256B"/>
    <w:rsid w:val="50883443"/>
    <w:rsid w:val="50B264B8"/>
    <w:rsid w:val="50DE6724"/>
    <w:rsid w:val="510C3D6B"/>
    <w:rsid w:val="512E73AD"/>
    <w:rsid w:val="51302C35"/>
    <w:rsid w:val="51343071"/>
    <w:rsid w:val="513B7EA1"/>
    <w:rsid w:val="513F6963"/>
    <w:rsid w:val="514465DA"/>
    <w:rsid w:val="514F1682"/>
    <w:rsid w:val="51523D7D"/>
    <w:rsid w:val="51725C58"/>
    <w:rsid w:val="518A24A0"/>
    <w:rsid w:val="51AD5279"/>
    <w:rsid w:val="51D120F2"/>
    <w:rsid w:val="51D45293"/>
    <w:rsid w:val="51D62467"/>
    <w:rsid w:val="51DD04CA"/>
    <w:rsid w:val="520874C6"/>
    <w:rsid w:val="521E0CBA"/>
    <w:rsid w:val="522F4687"/>
    <w:rsid w:val="527C4A2D"/>
    <w:rsid w:val="5283494B"/>
    <w:rsid w:val="52DA1F67"/>
    <w:rsid w:val="52DC1233"/>
    <w:rsid w:val="5309526E"/>
    <w:rsid w:val="53260AAA"/>
    <w:rsid w:val="53500D51"/>
    <w:rsid w:val="5350481B"/>
    <w:rsid w:val="53805D67"/>
    <w:rsid w:val="539E17A0"/>
    <w:rsid w:val="53B532CF"/>
    <w:rsid w:val="53C515E2"/>
    <w:rsid w:val="53CC502D"/>
    <w:rsid w:val="53DD2A43"/>
    <w:rsid w:val="53F45053"/>
    <w:rsid w:val="53FC01FB"/>
    <w:rsid w:val="54044960"/>
    <w:rsid w:val="54054510"/>
    <w:rsid w:val="541226B6"/>
    <w:rsid w:val="543C54DD"/>
    <w:rsid w:val="54623D30"/>
    <w:rsid w:val="546663A5"/>
    <w:rsid w:val="54684AF8"/>
    <w:rsid w:val="54795CA3"/>
    <w:rsid w:val="548B70F8"/>
    <w:rsid w:val="54952DD2"/>
    <w:rsid w:val="54985012"/>
    <w:rsid w:val="54AA6BFF"/>
    <w:rsid w:val="54AD2A7D"/>
    <w:rsid w:val="54B70DF0"/>
    <w:rsid w:val="54F66DF0"/>
    <w:rsid w:val="55044115"/>
    <w:rsid w:val="55102B21"/>
    <w:rsid w:val="551A04D3"/>
    <w:rsid w:val="552247B5"/>
    <w:rsid w:val="553C20AD"/>
    <w:rsid w:val="557D0674"/>
    <w:rsid w:val="55864814"/>
    <w:rsid w:val="55B436E3"/>
    <w:rsid w:val="55D93EB7"/>
    <w:rsid w:val="55E75EB7"/>
    <w:rsid w:val="56113FD3"/>
    <w:rsid w:val="562B749E"/>
    <w:rsid w:val="564B2680"/>
    <w:rsid w:val="565D465B"/>
    <w:rsid w:val="566D4B4A"/>
    <w:rsid w:val="5677609D"/>
    <w:rsid w:val="568D0E97"/>
    <w:rsid w:val="56945F1A"/>
    <w:rsid w:val="56B52743"/>
    <w:rsid w:val="570074C9"/>
    <w:rsid w:val="57413838"/>
    <w:rsid w:val="574B7586"/>
    <w:rsid w:val="574F23F9"/>
    <w:rsid w:val="576C7516"/>
    <w:rsid w:val="577949F3"/>
    <w:rsid w:val="57875755"/>
    <w:rsid w:val="579F170B"/>
    <w:rsid w:val="57AB4FF3"/>
    <w:rsid w:val="57DE4B2F"/>
    <w:rsid w:val="580351C1"/>
    <w:rsid w:val="580F0828"/>
    <w:rsid w:val="581B2ACA"/>
    <w:rsid w:val="58534B28"/>
    <w:rsid w:val="588C5CB7"/>
    <w:rsid w:val="589B6EE0"/>
    <w:rsid w:val="58AB3A34"/>
    <w:rsid w:val="58E24023"/>
    <w:rsid w:val="58E43783"/>
    <w:rsid w:val="58E86982"/>
    <w:rsid w:val="58F55A69"/>
    <w:rsid w:val="58FB55FE"/>
    <w:rsid w:val="592379E6"/>
    <w:rsid w:val="592A1998"/>
    <w:rsid w:val="5969395A"/>
    <w:rsid w:val="598125F8"/>
    <w:rsid w:val="59882FF0"/>
    <w:rsid w:val="59A60F5A"/>
    <w:rsid w:val="59B94CC4"/>
    <w:rsid w:val="59BB36C4"/>
    <w:rsid w:val="5A091FF8"/>
    <w:rsid w:val="5A0F4F36"/>
    <w:rsid w:val="5A1541AB"/>
    <w:rsid w:val="5A1A1EDB"/>
    <w:rsid w:val="5A2A4B14"/>
    <w:rsid w:val="5A2E1CC0"/>
    <w:rsid w:val="5A2F59C3"/>
    <w:rsid w:val="5A5B5B65"/>
    <w:rsid w:val="5A7C1EC2"/>
    <w:rsid w:val="5AD71A23"/>
    <w:rsid w:val="5ADC40E2"/>
    <w:rsid w:val="5AEF3DDE"/>
    <w:rsid w:val="5AF8583C"/>
    <w:rsid w:val="5AFD2105"/>
    <w:rsid w:val="5B01360B"/>
    <w:rsid w:val="5B14044F"/>
    <w:rsid w:val="5B5C33C7"/>
    <w:rsid w:val="5B846642"/>
    <w:rsid w:val="5B9345DE"/>
    <w:rsid w:val="5B94158A"/>
    <w:rsid w:val="5B9D0974"/>
    <w:rsid w:val="5BBD1564"/>
    <w:rsid w:val="5BC430F1"/>
    <w:rsid w:val="5BE50578"/>
    <w:rsid w:val="5BEC3B59"/>
    <w:rsid w:val="5C1652F9"/>
    <w:rsid w:val="5C8D77D5"/>
    <w:rsid w:val="5C9C4FCB"/>
    <w:rsid w:val="5CBD3922"/>
    <w:rsid w:val="5CD71012"/>
    <w:rsid w:val="5CEF72BA"/>
    <w:rsid w:val="5CF70434"/>
    <w:rsid w:val="5D1854CD"/>
    <w:rsid w:val="5D553A95"/>
    <w:rsid w:val="5D62009E"/>
    <w:rsid w:val="5D6A7B0E"/>
    <w:rsid w:val="5D994942"/>
    <w:rsid w:val="5D997FD9"/>
    <w:rsid w:val="5DA3557D"/>
    <w:rsid w:val="5DB700E1"/>
    <w:rsid w:val="5DBB2B4B"/>
    <w:rsid w:val="5DD34AD1"/>
    <w:rsid w:val="5DD80051"/>
    <w:rsid w:val="5DD95F90"/>
    <w:rsid w:val="5DF62F70"/>
    <w:rsid w:val="5E20206C"/>
    <w:rsid w:val="5E20798B"/>
    <w:rsid w:val="5E356F1F"/>
    <w:rsid w:val="5E4D4722"/>
    <w:rsid w:val="5E6E6249"/>
    <w:rsid w:val="5E7B60DB"/>
    <w:rsid w:val="5E8A188B"/>
    <w:rsid w:val="5EAB3CC7"/>
    <w:rsid w:val="5EB82B7B"/>
    <w:rsid w:val="5EC42611"/>
    <w:rsid w:val="5EF126C0"/>
    <w:rsid w:val="5F090A89"/>
    <w:rsid w:val="5F0D28BD"/>
    <w:rsid w:val="5F4D22BA"/>
    <w:rsid w:val="5F65734B"/>
    <w:rsid w:val="5F99442C"/>
    <w:rsid w:val="5FB742C5"/>
    <w:rsid w:val="5FEE24CA"/>
    <w:rsid w:val="600B4EFB"/>
    <w:rsid w:val="601F4BAF"/>
    <w:rsid w:val="6020450C"/>
    <w:rsid w:val="602045A6"/>
    <w:rsid w:val="604A23F9"/>
    <w:rsid w:val="60637F52"/>
    <w:rsid w:val="60931426"/>
    <w:rsid w:val="60A0423D"/>
    <w:rsid w:val="60BC0D77"/>
    <w:rsid w:val="610C4ACE"/>
    <w:rsid w:val="612D05BB"/>
    <w:rsid w:val="619418EC"/>
    <w:rsid w:val="61AC418E"/>
    <w:rsid w:val="62154DF7"/>
    <w:rsid w:val="6216083E"/>
    <w:rsid w:val="62647C14"/>
    <w:rsid w:val="626F7F7D"/>
    <w:rsid w:val="629B259D"/>
    <w:rsid w:val="62A139F3"/>
    <w:rsid w:val="62A6516A"/>
    <w:rsid w:val="62AE41D6"/>
    <w:rsid w:val="62CF32E1"/>
    <w:rsid w:val="62D5076A"/>
    <w:rsid w:val="62DE49DD"/>
    <w:rsid w:val="62E515D1"/>
    <w:rsid w:val="62ED6AB2"/>
    <w:rsid w:val="62F67FC2"/>
    <w:rsid w:val="62F76189"/>
    <w:rsid w:val="630C516B"/>
    <w:rsid w:val="6336142F"/>
    <w:rsid w:val="634351B6"/>
    <w:rsid w:val="6387254A"/>
    <w:rsid w:val="638D4F38"/>
    <w:rsid w:val="63BB29E2"/>
    <w:rsid w:val="63EE7BC2"/>
    <w:rsid w:val="64116F3E"/>
    <w:rsid w:val="641D2495"/>
    <w:rsid w:val="643B1BC5"/>
    <w:rsid w:val="649B63D6"/>
    <w:rsid w:val="64A70088"/>
    <w:rsid w:val="64E05C3C"/>
    <w:rsid w:val="65031AFB"/>
    <w:rsid w:val="65164C0C"/>
    <w:rsid w:val="65293523"/>
    <w:rsid w:val="654A176D"/>
    <w:rsid w:val="656475AC"/>
    <w:rsid w:val="656D04E3"/>
    <w:rsid w:val="656E012E"/>
    <w:rsid w:val="65875B16"/>
    <w:rsid w:val="658E4991"/>
    <w:rsid w:val="65B449B7"/>
    <w:rsid w:val="65C308A8"/>
    <w:rsid w:val="65D163E1"/>
    <w:rsid w:val="66072ECE"/>
    <w:rsid w:val="660F474C"/>
    <w:rsid w:val="661A5498"/>
    <w:rsid w:val="66540846"/>
    <w:rsid w:val="668506CA"/>
    <w:rsid w:val="668A3617"/>
    <w:rsid w:val="668C5F71"/>
    <w:rsid w:val="668C6957"/>
    <w:rsid w:val="66981E41"/>
    <w:rsid w:val="66C73865"/>
    <w:rsid w:val="66CD4D5B"/>
    <w:rsid w:val="66D90E7D"/>
    <w:rsid w:val="66E069BA"/>
    <w:rsid w:val="66EF7A62"/>
    <w:rsid w:val="66F31B42"/>
    <w:rsid w:val="674D3F5C"/>
    <w:rsid w:val="67A6286D"/>
    <w:rsid w:val="67B93CA4"/>
    <w:rsid w:val="67DA4B2A"/>
    <w:rsid w:val="6802710A"/>
    <w:rsid w:val="680A47AA"/>
    <w:rsid w:val="680C0846"/>
    <w:rsid w:val="68317660"/>
    <w:rsid w:val="68425993"/>
    <w:rsid w:val="68C10D9F"/>
    <w:rsid w:val="690872DE"/>
    <w:rsid w:val="69354EE3"/>
    <w:rsid w:val="695E1C38"/>
    <w:rsid w:val="69681D89"/>
    <w:rsid w:val="699604A0"/>
    <w:rsid w:val="69981BB6"/>
    <w:rsid w:val="699C7570"/>
    <w:rsid w:val="69A75110"/>
    <w:rsid w:val="69AF003E"/>
    <w:rsid w:val="69CD52B0"/>
    <w:rsid w:val="69DC2843"/>
    <w:rsid w:val="69F830AA"/>
    <w:rsid w:val="6A085CBE"/>
    <w:rsid w:val="6A153A67"/>
    <w:rsid w:val="6A3F352D"/>
    <w:rsid w:val="6A4C344E"/>
    <w:rsid w:val="6A4E7A1A"/>
    <w:rsid w:val="6A5F3D6D"/>
    <w:rsid w:val="6A855576"/>
    <w:rsid w:val="6AFE36E2"/>
    <w:rsid w:val="6B185C86"/>
    <w:rsid w:val="6B2D3621"/>
    <w:rsid w:val="6B575AA1"/>
    <w:rsid w:val="6B860B2F"/>
    <w:rsid w:val="6B940198"/>
    <w:rsid w:val="6BD541E5"/>
    <w:rsid w:val="6BD61A29"/>
    <w:rsid w:val="6BD96D03"/>
    <w:rsid w:val="6BDC24CE"/>
    <w:rsid w:val="6C12377A"/>
    <w:rsid w:val="6C226508"/>
    <w:rsid w:val="6C2D1DCF"/>
    <w:rsid w:val="6C4930E9"/>
    <w:rsid w:val="6C62779B"/>
    <w:rsid w:val="6C9838C1"/>
    <w:rsid w:val="6D110D3B"/>
    <w:rsid w:val="6D8110C5"/>
    <w:rsid w:val="6DA0283D"/>
    <w:rsid w:val="6DAD6052"/>
    <w:rsid w:val="6DF63959"/>
    <w:rsid w:val="6E166BAF"/>
    <w:rsid w:val="6E185853"/>
    <w:rsid w:val="6E344AD2"/>
    <w:rsid w:val="6E53210F"/>
    <w:rsid w:val="6E603223"/>
    <w:rsid w:val="6E716270"/>
    <w:rsid w:val="6E8639DF"/>
    <w:rsid w:val="6E962605"/>
    <w:rsid w:val="6ED11026"/>
    <w:rsid w:val="6EFA4931"/>
    <w:rsid w:val="6F032C16"/>
    <w:rsid w:val="6F0C63C1"/>
    <w:rsid w:val="6F1A4A00"/>
    <w:rsid w:val="6F265DA7"/>
    <w:rsid w:val="6F57340B"/>
    <w:rsid w:val="6F69715D"/>
    <w:rsid w:val="6F6D5164"/>
    <w:rsid w:val="6F7F0787"/>
    <w:rsid w:val="6F8A2CEF"/>
    <w:rsid w:val="6FA11C8D"/>
    <w:rsid w:val="6FAB14AC"/>
    <w:rsid w:val="6FBA768F"/>
    <w:rsid w:val="6FBE4BE4"/>
    <w:rsid w:val="6FD55A73"/>
    <w:rsid w:val="6FD741DB"/>
    <w:rsid w:val="6FE66028"/>
    <w:rsid w:val="6FF834F9"/>
    <w:rsid w:val="701A02AA"/>
    <w:rsid w:val="701D72C3"/>
    <w:rsid w:val="703C6BD1"/>
    <w:rsid w:val="705848F7"/>
    <w:rsid w:val="70695608"/>
    <w:rsid w:val="708158A8"/>
    <w:rsid w:val="708563E7"/>
    <w:rsid w:val="708A2EFA"/>
    <w:rsid w:val="70D7457B"/>
    <w:rsid w:val="70FE2B1B"/>
    <w:rsid w:val="710366DA"/>
    <w:rsid w:val="71102171"/>
    <w:rsid w:val="71236204"/>
    <w:rsid w:val="71251EAB"/>
    <w:rsid w:val="71280582"/>
    <w:rsid w:val="71443908"/>
    <w:rsid w:val="71767BA9"/>
    <w:rsid w:val="719240DC"/>
    <w:rsid w:val="71A617F5"/>
    <w:rsid w:val="71CF1689"/>
    <w:rsid w:val="71D45FDB"/>
    <w:rsid w:val="71DC1DC3"/>
    <w:rsid w:val="71EF13EC"/>
    <w:rsid w:val="720037E0"/>
    <w:rsid w:val="72307E9B"/>
    <w:rsid w:val="723776B9"/>
    <w:rsid w:val="723C6FE6"/>
    <w:rsid w:val="72675B00"/>
    <w:rsid w:val="7274672F"/>
    <w:rsid w:val="72B517F7"/>
    <w:rsid w:val="72BA5DEC"/>
    <w:rsid w:val="72BB1D45"/>
    <w:rsid w:val="72D71F6D"/>
    <w:rsid w:val="72DC485D"/>
    <w:rsid w:val="72F0419A"/>
    <w:rsid w:val="730C528C"/>
    <w:rsid w:val="73103064"/>
    <w:rsid w:val="731D0112"/>
    <w:rsid w:val="732B0918"/>
    <w:rsid w:val="73315A5F"/>
    <w:rsid w:val="734F32B4"/>
    <w:rsid w:val="736154DB"/>
    <w:rsid w:val="736A21A7"/>
    <w:rsid w:val="737C3F12"/>
    <w:rsid w:val="738F170E"/>
    <w:rsid w:val="73CA79AA"/>
    <w:rsid w:val="73DA2C89"/>
    <w:rsid w:val="741061B9"/>
    <w:rsid w:val="74555F51"/>
    <w:rsid w:val="74805CED"/>
    <w:rsid w:val="74980BD6"/>
    <w:rsid w:val="749A0D61"/>
    <w:rsid w:val="74C6370C"/>
    <w:rsid w:val="74D75CB7"/>
    <w:rsid w:val="74E101A1"/>
    <w:rsid w:val="74E36AFB"/>
    <w:rsid w:val="750B14D3"/>
    <w:rsid w:val="75241A48"/>
    <w:rsid w:val="753B6235"/>
    <w:rsid w:val="753C5E12"/>
    <w:rsid w:val="754C75A2"/>
    <w:rsid w:val="759253B8"/>
    <w:rsid w:val="759D13E0"/>
    <w:rsid w:val="75FE1688"/>
    <w:rsid w:val="76615ED4"/>
    <w:rsid w:val="768F1066"/>
    <w:rsid w:val="769B64F7"/>
    <w:rsid w:val="76A606E2"/>
    <w:rsid w:val="76C15146"/>
    <w:rsid w:val="76E3019D"/>
    <w:rsid w:val="76FF6F67"/>
    <w:rsid w:val="77060C27"/>
    <w:rsid w:val="7748156F"/>
    <w:rsid w:val="774A252E"/>
    <w:rsid w:val="77581AA8"/>
    <w:rsid w:val="77625E38"/>
    <w:rsid w:val="7793231D"/>
    <w:rsid w:val="77B576D1"/>
    <w:rsid w:val="77F50EA0"/>
    <w:rsid w:val="780F1937"/>
    <w:rsid w:val="7812493C"/>
    <w:rsid w:val="781E08EF"/>
    <w:rsid w:val="78326CDB"/>
    <w:rsid w:val="78DA259B"/>
    <w:rsid w:val="78DC3EBE"/>
    <w:rsid w:val="791D2B9A"/>
    <w:rsid w:val="791D4884"/>
    <w:rsid w:val="79243E4D"/>
    <w:rsid w:val="79361073"/>
    <w:rsid w:val="79444F92"/>
    <w:rsid w:val="79637803"/>
    <w:rsid w:val="79754EDE"/>
    <w:rsid w:val="79962469"/>
    <w:rsid w:val="79A37786"/>
    <w:rsid w:val="79AA5728"/>
    <w:rsid w:val="79C0707A"/>
    <w:rsid w:val="79C40109"/>
    <w:rsid w:val="79FB1D2C"/>
    <w:rsid w:val="7A406248"/>
    <w:rsid w:val="7A895323"/>
    <w:rsid w:val="7A922611"/>
    <w:rsid w:val="7AF2461F"/>
    <w:rsid w:val="7AF36489"/>
    <w:rsid w:val="7B0C637C"/>
    <w:rsid w:val="7B37514D"/>
    <w:rsid w:val="7B4D1E6F"/>
    <w:rsid w:val="7B7F35A7"/>
    <w:rsid w:val="7BBD725D"/>
    <w:rsid w:val="7C8700E6"/>
    <w:rsid w:val="7C9C3988"/>
    <w:rsid w:val="7CA35304"/>
    <w:rsid w:val="7CA722E8"/>
    <w:rsid w:val="7CAF2272"/>
    <w:rsid w:val="7CC85893"/>
    <w:rsid w:val="7CD62CB7"/>
    <w:rsid w:val="7CDC2114"/>
    <w:rsid w:val="7CE62CF7"/>
    <w:rsid w:val="7CEE274A"/>
    <w:rsid w:val="7CF61F92"/>
    <w:rsid w:val="7D2379CC"/>
    <w:rsid w:val="7D3540BD"/>
    <w:rsid w:val="7D463477"/>
    <w:rsid w:val="7D4E0B4C"/>
    <w:rsid w:val="7D752A04"/>
    <w:rsid w:val="7D9F5F86"/>
    <w:rsid w:val="7DA774CB"/>
    <w:rsid w:val="7DC6348F"/>
    <w:rsid w:val="7DEF3C6D"/>
    <w:rsid w:val="7E531D4D"/>
    <w:rsid w:val="7E5A432D"/>
    <w:rsid w:val="7E7D27AD"/>
    <w:rsid w:val="7EA34112"/>
    <w:rsid w:val="7EA97B31"/>
    <w:rsid w:val="7EBD4526"/>
    <w:rsid w:val="7ECA3B2F"/>
    <w:rsid w:val="7EE16A0A"/>
    <w:rsid w:val="7EF379BC"/>
    <w:rsid w:val="7F032706"/>
    <w:rsid w:val="7F19502E"/>
    <w:rsid w:val="7F1E3B76"/>
    <w:rsid w:val="7F571760"/>
    <w:rsid w:val="7F7346E1"/>
    <w:rsid w:val="7F816D28"/>
    <w:rsid w:val="7F8D133C"/>
    <w:rsid w:val="7F9A7CFE"/>
    <w:rsid w:val="7FE64714"/>
    <w:rsid w:val="7FF10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42"/>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43"/>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rFonts w:cs="Calibri"/>
      <w:sz w:val="18"/>
      <w:szCs w:val="18"/>
    </w:rPr>
  </w:style>
  <w:style w:type="paragraph" w:styleId="7">
    <w:name w:val="Normal Indent"/>
    <w:basedOn w:val="1"/>
    <w:qFormat/>
    <w:uiPriority w:val="0"/>
    <w:pPr>
      <w:ind w:firstLine="420"/>
    </w:pPr>
  </w:style>
  <w:style w:type="paragraph" w:styleId="8">
    <w:name w:val="Document Map"/>
    <w:basedOn w:val="1"/>
    <w:qFormat/>
    <w:uiPriority w:val="0"/>
    <w:rPr>
      <w:rFonts w:ascii="宋体" w:cs="宋体"/>
      <w:sz w:val="18"/>
      <w:szCs w:val="18"/>
    </w:rPr>
  </w:style>
  <w:style w:type="paragraph" w:styleId="9">
    <w:name w:val="annotation text"/>
    <w:basedOn w:val="1"/>
    <w:link w:val="44"/>
    <w:qFormat/>
    <w:uiPriority w:val="0"/>
    <w:pPr>
      <w:jc w:val="left"/>
    </w:pPr>
    <w:rPr>
      <w:rFonts w:ascii="Times New Roman" w:hAnsi="Times New Roman"/>
      <w:szCs w:val="20"/>
    </w:rPr>
  </w:style>
  <w:style w:type="paragraph" w:styleId="10">
    <w:name w:val="Body Text 3"/>
    <w:basedOn w:val="1"/>
    <w:link w:val="45"/>
    <w:qFormat/>
    <w:uiPriority w:val="0"/>
    <w:rPr>
      <w:rFonts w:ascii="宋体"/>
      <w:sz w:val="24"/>
      <w:szCs w:val="20"/>
    </w:rPr>
  </w:style>
  <w:style w:type="paragraph" w:styleId="11">
    <w:name w:val="Body Text"/>
    <w:basedOn w:val="1"/>
    <w:qFormat/>
    <w:uiPriority w:val="0"/>
    <w:pPr>
      <w:spacing w:line="360" w:lineRule="auto"/>
    </w:pPr>
    <w:rPr>
      <w:sz w:val="24"/>
    </w:rPr>
  </w:style>
  <w:style w:type="paragraph" w:styleId="12">
    <w:name w:val="Body Text Indent"/>
    <w:basedOn w:val="1"/>
    <w:next w:val="13"/>
    <w:link w:val="46"/>
    <w:qFormat/>
    <w:uiPriority w:val="0"/>
    <w:pPr>
      <w:ind w:firstLine="560" w:firstLineChars="200"/>
    </w:pPr>
    <w:rPr>
      <w:rFonts w:ascii="宋体" w:hAnsi="宋体"/>
      <w:bCs/>
      <w:sz w:val="28"/>
      <w:szCs w:val="32"/>
    </w:rPr>
  </w:style>
  <w:style w:type="paragraph" w:styleId="13">
    <w:name w:val="envelope return"/>
    <w:basedOn w:val="1"/>
    <w:qFormat/>
    <w:uiPriority w:val="0"/>
    <w:pPr>
      <w:snapToGrid w:val="0"/>
    </w:pPr>
    <w:rPr>
      <w:rFonts w:ascii="Arial" w:hAnsi="Arial" w:cs="Arial"/>
      <w:szCs w:val="24"/>
    </w:rPr>
  </w:style>
  <w:style w:type="paragraph" w:styleId="14">
    <w:name w:val="toc 5"/>
    <w:basedOn w:val="1"/>
    <w:next w:val="1"/>
    <w:qFormat/>
    <w:uiPriority w:val="39"/>
    <w:pPr>
      <w:ind w:left="840"/>
      <w:jc w:val="left"/>
    </w:pPr>
    <w:rPr>
      <w:rFonts w:cs="Calibri"/>
      <w:sz w:val="18"/>
      <w:szCs w:val="18"/>
    </w:rPr>
  </w:style>
  <w:style w:type="paragraph" w:styleId="15">
    <w:name w:val="toc 3"/>
    <w:basedOn w:val="1"/>
    <w:next w:val="1"/>
    <w:qFormat/>
    <w:uiPriority w:val="39"/>
    <w:pPr>
      <w:ind w:left="420"/>
      <w:jc w:val="left"/>
    </w:pPr>
    <w:rPr>
      <w:rFonts w:cs="Calibri"/>
      <w:i/>
      <w:iCs/>
      <w:sz w:val="20"/>
      <w:szCs w:val="20"/>
    </w:rPr>
  </w:style>
  <w:style w:type="paragraph" w:styleId="16">
    <w:name w:val="Plain Text"/>
    <w:basedOn w:val="1"/>
    <w:qFormat/>
    <w:uiPriority w:val="0"/>
    <w:rPr>
      <w:rFonts w:ascii="宋体"/>
    </w:rPr>
  </w:style>
  <w:style w:type="paragraph" w:styleId="17">
    <w:name w:val="toc 8"/>
    <w:basedOn w:val="1"/>
    <w:next w:val="1"/>
    <w:qFormat/>
    <w:uiPriority w:val="39"/>
    <w:pPr>
      <w:ind w:left="1470"/>
      <w:jc w:val="left"/>
    </w:pPr>
    <w:rPr>
      <w:rFonts w:cs="Calibri"/>
      <w:sz w:val="18"/>
      <w:szCs w:val="18"/>
    </w:rPr>
  </w:style>
  <w:style w:type="paragraph" w:styleId="18">
    <w:name w:val="Date"/>
    <w:basedOn w:val="1"/>
    <w:next w:val="1"/>
    <w:qFormat/>
    <w:uiPriority w:val="0"/>
    <w:pPr>
      <w:ind w:left="2500" w:leftChars="2500"/>
    </w:pPr>
    <w:rPr>
      <w:rFonts w:ascii="Times New Roman" w:hAnsi="Times New Roman"/>
      <w:szCs w:val="20"/>
    </w:rPr>
  </w:style>
  <w:style w:type="paragraph" w:styleId="19">
    <w:name w:val="Balloon Text"/>
    <w:basedOn w:val="1"/>
    <w:qFormat/>
    <w:uiPriority w:val="0"/>
    <w:rPr>
      <w:rFonts w:ascii="Times New Roman" w:hAnsi="Times New Roman"/>
      <w:sz w:val="18"/>
      <w:szCs w:val="20"/>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link w:val="47"/>
    <w:qFormat/>
    <w:uiPriority w:val="99"/>
    <w:pPr>
      <w:tabs>
        <w:tab w:val="center" w:pos="4153"/>
        <w:tab w:val="right" w:pos="8306"/>
      </w:tabs>
      <w:snapToGrid w:val="0"/>
    </w:pPr>
    <w:rPr>
      <w:rFonts w:ascii="Times New Roman" w:hAnsi="Times New Roman"/>
      <w:sz w:val="18"/>
      <w:szCs w:val="20"/>
    </w:rPr>
  </w:style>
  <w:style w:type="paragraph" w:styleId="22">
    <w:name w:val="toc 1"/>
    <w:basedOn w:val="1"/>
    <w:next w:val="1"/>
    <w:qFormat/>
    <w:uiPriority w:val="39"/>
    <w:pPr>
      <w:spacing w:before="120" w:after="120"/>
      <w:jc w:val="left"/>
    </w:pPr>
    <w:rPr>
      <w:rFonts w:cs="Calibri"/>
      <w:b/>
      <w:bCs/>
      <w:caps/>
      <w:sz w:val="20"/>
      <w:szCs w:val="20"/>
    </w:rPr>
  </w:style>
  <w:style w:type="paragraph" w:styleId="23">
    <w:name w:val="toc 4"/>
    <w:basedOn w:val="1"/>
    <w:next w:val="1"/>
    <w:qFormat/>
    <w:uiPriority w:val="39"/>
    <w:pPr>
      <w:ind w:left="630"/>
      <w:jc w:val="left"/>
    </w:pPr>
    <w:rPr>
      <w:rFonts w:cs="Calibri"/>
      <w:sz w:val="18"/>
      <w:szCs w:val="18"/>
    </w:rPr>
  </w:style>
  <w:style w:type="paragraph" w:styleId="24">
    <w:name w:val="List"/>
    <w:basedOn w:val="1"/>
    <w:qFormat/>
    <w:uiPriority w:val="0"/>
    <w:pPr>
      <w:ind w:left="200" w:hanging="200" w:hangingChars="200"/>
    </w:pPr>
  </w:style>
  <w:style w:type="paragraph" w:styleId="25">
    <w:name w:val="footnote text"/>
    <w:basedOn w:val="1"/>
    <w:link w:val="48"/>
    <w:unhideWhenUsed/>
    <w:qFormat/>
    <w:uiPriority w:val="99"/>
    <w:pPr>
      <w:snapToGrid w:val="0"/>
      <w:jc w:val="left"/>
    </w:pPr>
    <w:rPr>
      <w:rFonts w:ascii="Times New Roman" w:hAnsi="Times New Roman"/>
      <w:sz w:val="18"/>
      <w:szCs w:val="18"/>
    </w:rPr>
  </w:style>
  <w:style w:type="paragraph" w:styleId="26">
    <w:name w:val="toc 6"/>
    <w:basedOn w:val="1"/>
    <w:next w:val="1"/>
    <w:qFormat/>
    <w:uiPriority w:val="39"/>
    <w:pPr>
      <w:ind w:left="1050"/>
      <w:jc w:val="left"/>
    </w:pPr>
    <w:rPr>
      <w:rFonts w:cs="Calibri"/>
      <w:sz w:val="18"/>
      <w:szCs w:val="18"/>
    </w:rPr>
  </w:style>
  <w:style w:type="paragraph" w:styleId="27">
    <w:name w:val="Body Text Indent 3"/>
    <w:basedOn w:val="1"/>
    <w:qFormat/>
    <w:uiPriority w:val="0"/>
    <w:pPr>
      <w:spacing w:after="120"/>
      <w:ind w:left="200" w:leftChars="200"/>
    </w:pPr>
    <w:rPr>
      <w:sz w:val="16"/>
      <w:szCs w:val="16"/>
    </w:rPr>
  </w:style>
  <w:style w:type="paragraph" w:styleId="28">
    <w:name w:val="toc 2"/>
    <w:basedOn w:val="1"/>
    <w:next w:val="1"/>
    <w:qFormat/>
    <w:uiPriority w:val="39"/>
    <w:pPr>
      <w:ind w:left="210"/>
      <w:jc w:val="left"/>
    </w:pPr>
    <w:rPr>
      <w:rFonts w:cs="Calibri"/>
      <w:smallCaps/>
      <w:sz w:val="20"/>
      <w:szCs w:val="20"/>
    </w:rPr>
  </w:style>
  <w:style w:type="paragraph" w:styleId="29">
    <w:name w:val="toc 9"/>
    <w:basedOn w:val="1"/>
    <w:next w:val="1"/>
    <w:qFormat/>
    <w:uiPriority w:val="39"/>
    <w:pPr>
      <w:ind w:left="1680"/>
      <w:jc w:val="left"/>
    </w:pPr>
    <w:rPr>
      <w:rFonts w:cs="Calibri"/>
      <w:sz w:val="18"/>
      <w:szCs w:val="18"/>
    </w:rPr>
  </w:style>
  <w:style w:type="paragraph" w:styleId="30">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31">
    <w:name w:val="annotation subject"/>
    <w:basedOn w:val="9"/>
    <w:next w:val="9"/>
    <w:qFormat/>
    <w:uiPriority w:val="0"/>
  </w:style>
  <w:style w:type="paragraph" w:styleId="32">
    <w:name w:val="Body Text First Indent 2"/>
    <w:basedOn w:val="12"/>
    <w:unhideWhenUsed/>
    <w:qFormat/>
    <w:uiPriority w:val="99"/>
    <w:pPr>
      <w:ind w:firstLine="420"/>
    </w:pPr>
    <w:rPr>
      <w:sz w:val="21"/>
      <w:szCs w:val="24"/>
    </w:r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qFormat/>
    <w:uiPriority w:val="0"/>
  </w:style>
  <w:style w:type="character" w:styleId="38">
    <w:name w:val="Hyperlink"/>
    <w:qFormat/>
    <w:uiPriority w:val="99"/>
    <w:rPr>
      <w:color w:val="0000FF"/>
      <w:u w:val="single"/>
    </w:rPr>
  </w:style>
  <w:style w:type="character" w:styleId="39">
    <w:name w:val="annotation reference"/>
    <w:qFormat/>
    <w:uiPriority w:val="0"/>
    <w:rPr>
      <w:sz w:val="21"/>
    </w:rPr>
  </w:style>
  <w:style w:type="character" w:styleId="40">
    <w:name w:val="footnote reference"/>
    <w:unhideWhenUsed/>
    <w:qFormat/>
    <w:uiPriority w:val="99"/>
    <w:rPr>
      <w:vertAlign w:val="superscript"/>
    </w:rPr>
  </w:style>
  <w:style w:type="character" w:customStyle="1" w:styleId="41">
    <w:name w:val="标题 1 字符"/>
    <w:link w:val="2"/>
    <w:qFormat/>
    <w:uiPriority w:val="0"/>
    <w:rPr>
      <w:b/>
      <w:kern w:val="44"/>
      <w:sz w:val="44"/>
    </w:rPr>
  </w:style>
  <w:style w:type="character" w:customStyle="1" w:styleId="42">
    <w:name w:val="标题 3 字符"/>
    <w:link w:val="4"/>
    <w:qFormat/>
    <w:uiPriority w:val="0"/>
    <w:rPr>
      <w:rFonts w:ascii="黑体" w:hAnsi="Calibri" w:eastAsia="黑体"/>
      <w:kern w:val="2"/>
      <w:sz w:val="28"/>
    </w:rPr>
  </w:style>
  <w:style w:type="character" w:customStyle="1" w:styleId="43">
    <w:name w:val="标题 4 字符"/>
    <w:link w:val="5"/>
    <w:qFormat/>
    <w:uiPriority w:val="0"/>
    <w:rPr>
      <w:rFonts w:ascii="Arial" w:hAnsi="Arial" w:eastAsia="黑体"/>
      <w:bCs/>
      <w:kern w:val="2"/>
      <w:sz w:val="21"/>
      <w:szCs w:val="28"/>
    </w:rPr>
  </w:style>
  <w:style w:type="character" w:customStyle="1" w:styleId="44">
    <w:name w:val="批注文字 字符"/>
    <w:link w:val="9"/>
    <w:qFormat/>
    <w:uiPriority w:val="0"/>
    <w:rPr>
      <w:rFonts w:eastAsia="宋体"/>
      <w:kern w:val="2"/>
      <w:sz w:val="21"/>
    </w:rPr>
  </w:style>
  <w:style w:type="character" w:customStyle="1" w:styleId="45">
    <w:name w:val="正文文本 3 字符"/>
    <w:link w:val="10"/>
    <w:qFormat/>
    <w:uiPriority w:val="0"/>
    <w:rPr>
      <w:rFonts w:ascii="宋体" w:hAnsi="Calibri" w:eastAsia="宋体"/>
      <w:kern w:val="2"/>
      <w:sz w:val="24"/>
    </w:rPr>
  </w:style>
  <w:style w:type="character" w:customStyle="1" w:styleId="46">
    <w:name w:val="正文文本缩进 字符"/>
    <w:link w:val="12"/>
    <w:qFormat/>
    <w:uiPriority w:val="0"/>
    <w:rPr>
      <w:rFonts w:ascii="宋体" w:hAnsi="宋体"/>
      <w:bCs/>
      <w:kern w:val="2"/>
      <w:sz w:val="28"/>
      <w:szCs w:val="32"/>
    </w:rPr>
  </w:style>
  <w:style w:type="character" w:customStyle="1" w:styleId="47">
    <w:name w:val="页眉 字符"/>
    <w:link w:val="21"/>
    <w:qFormat/>
    <w:uiPriority w:val="99"/>
    <w:rPr>
      <w:rFonts w:ascii="Times New Roman" w:hAnsi="Times New Roman" w:eastAsia="宋体" w:cs="Times New Roman"/>
      <w:kern w:val="2"/>
      <w:sz w:val="18"/>
    </w:rPr>
  </w:style>
  <w:style w:type="character" w:customStyle="1" w:styleId="48">
    <w:name w:val="脚注文本 字符"/>
    <w:link w:val="25"/>
    <w:qFormat/>
    <w:uiPriority w:val="99"/>
    <w:rPr>
      <w:kern w:val="2"/>
      <w:sz w:val="18"/>
      <w:szCs w:val="18"/>
    </w:rPr>
  </w:style>
  <w:style w:type="character" w:customStyle="1" w:styleId="49">
    <w:name w:val="style_kwd"/>
    <w:qFormat/>
    <w:uiPriority w:val="0"/>
  </w:style>
  <w:style w:type="character" w:customStyle="1" w:styleId="50">
    <w:name w:val="批注文字 Char1"/>
    <w:qFormat/>
    <w:uiPriority w:val="0"/>
    <w:rPr>
      <w:rFonts w:ascii="Times New Roman" w:hAnsi="Times New Roman" w:eastAsia="宋体" w:cs="Times New Roman"/>
      <w:sz w:val="20"/>
      <w:szCs w:val="20"/>
      <w:lang w:bidi="ar-SA"/>
    </w:rPr>
  </w:style>
  <w:style w:type="character" w:customStyle="1" w:styleId="51">
    <w:name w:val="Comment Text Char"/>
    <w:qFormat/>
    <w:uiPriority w:val="0"/>
  </w:style>
  <w:style w:type="paragraph" w:customStyle="1" w:styleId="52">
    <w:name w:val="修订1"/>
    <w:qFormat/>
    <w:uiPriority w:val="0"/>
    <w:rPr>
      <w:rFonts w:ascii="Times New Roman" w:hAnsi="Times New Roman" w:eastAsia="宋体" w:cs="Times New Roman"/>
      <w:kern w:val="2"/>
      <w:sz w:val="21"/>
      <w:lang w:val="en-US" w:eastAsia="zh-CN" w:bidi="ar-SA"/>
    </w:rPr>
  </w:style>
  <w:style w:type="paragraph" w:customStyle="1" w:styleId="53">
    <w:name w:val="_Style 23"/>
    <w:basedOn w:val="1"/>
    <w:qFormat/>
    <w:uiPriority w:val="0"/>
    <w:pPr>
      <w:widowControl/>
      <w:spacing w:after="160" w:line="240" w:lineRule="exact"/>
      <w:jc w:val="left"/>
    </w:pPr>
  </w:style>
  <w:style w:type="paragraph" w:customStyle="1" w:styleId="54">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5">
    <w:name w:val="font161"/>
    <w:qFormat/>
    <w:uiPriority w:val="0"/>
    <w:rPr>
      <w:b/>
      <w:bCs/>
      <w:sz w:val="32"/>
      <w:szCs w:val="32"/>
    </w:rPr>
  </w:style>
  <w:style w:type="paragraph" w:customStyle="1" w:styleId="5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57">
    <w:name w:val="样式 标题 3 + (中文) 黑体 小四 非加粗 段前: 7.8 磅 段后: 0 磅 行距: 固定值 20 磅"/>
    <w:basedOn w:val="4"/>
    <w:qFormat/>
    <w:uiPriority w:val="0"/>
    <w:pPr>
      <w:spacing w:before="0" w:after="0" w:line="400" w:lineRule="exact"/>
      <w:ind w:firstLine="0" w:firstLineChars="0"/>
    </w:pPr>
    <w:rPr>
      <w:rFonts w:ascii="Times New Roman" w:hAnsi="Times New Roman" w:cs="宋体"/>
      <w:sz w:val="24"/>
    </w:rPr>
  </w:style>
  <w:style w:type="paragraph" w:customStyle="1" w:styleId="58">
    <w:name w:val="修订2"/>
    <w:semiHidden/>
    <w:qFormat/>
    <w:uiPriority w:val="99"/>
    <w:rPr>
      <w:rFonts w:ascii="Calibri" w:hAnsi="Calibri" w:eastAsia="宋体" w:cs="Times New Roman"/>
      <w:kern w:val="2"/>
      <w:sz w:val="21"/>
      <w:szCs w:val="22"/>
      <w:lang w:val="en-US" w:eastAsia="zh-CN" w:bidi="ar-SA"/>
    </w:rPr>
  </w:style>
  <w:style w:type="paragraph" w:styleId="59">
    <w:name w:val="List Paragraph"/>
    <w:basedOn w:val="1"/>
    <w:qFormat/>
    <w:uiPriority w:val="0"/>
    <w:pPr>
      <w:ind w:firstLine="420" w:firstLineChars="200"/>
    </w:pPr>
  </w:style>
  <w:style w:type="paragraph" w:customStyle="1" w:styleId="60">
    <w:name w:val="修订3"/>
    <w:semiHidden/>
    <w:qFormat/>
    <w:uiPriority w:val="99"/>
    <w:rPr>
      <w:rFonts w:ascii="Calibri" w:hAnsi="Calibri" w:eastAsia="宋体" w:cs="Times New Roman"/>
      <w:kern w:val="2"/>
      <w:sz w:val="21"/>
      <w:szCs w:val="22"/>
      <w:lang w:val="en-US" w:eastAsia="zh-CN" w:bidi="ar-SA"/>
    </w:rPr>
  </w:style>
  <w:style w:type="paragraph" w:customStyle="1" w:styleId="61">
    <w:name w:val="修订4"/>
    <w:semiHidden/>
    <w:qFormat/>
    <w:uiPriority w:val="99"/>
    <w:rPr>
      <w:rFonts w:ascii="Calibri" w:hAnsi="Calibri" w:eastAsia="宋体" w:cs="Times New Roman"/>
      <w:kern w:val="2"/>
      <w:sz w:val="21"/>
      <w:szCs w:val="22"/>
      <w:lang w:val="en-US" w:eastAsia="zh-CN" w:bidi="ar-SA"/>
    </w:rPr>
  </w:style>
  <w:style w:type="paragraph" w:customStyle="1" w:styleId="62">
    <w:name w:val="修订5"/>
    <w:unhideWhenUsed/>
    <w:qFormat/>
    <w:uiPriority w:val="99"/>
    <w:rPr>
      <w:rFonts w:ascii="Calibri" w:hAnsi="Calibri" w:eastAsia="宋体" w:cs="Times New Roman"/>
      <w:kern w:val="2"/>
      <w:sz w:val="21"/>
      <w:szCs w:val="22"/>
      <w:lang w:val="en-US" w:eastAsia="zh-CN" w:bidi="ar-SA"/>
    </w:rPr>
  </w:style>
  <w:style w:type="paragraph" w:customStyle="1" w:styleId="63">
    <w:name w:val="修订6"/>
    <w:unhideWhenUsed/>
    <w:qFormat/>
    <w:uiPriority w:val="99"/>
    <w:rPr>
      <w:rFonts w:ascii="Calibri" w:hAnsi="Calibri" w:eastAsia="宋体" w:cs="Times New Roman"/>
      <w:kern w:val="2"/>
      <w:sz w:val="21"/>
      <w:szCs w:val="22"/>
      <w:lang w:val="en-US" w:eastAsia="zh-CN" w:bidi="ar-SA"/>
    </w:rPr>
  </w:style>
  <w:style w:type="paragraph" w:customStyle="1" w:styleId="64">
    <w:name w:val="D&amp;L"/>
    <w:basedOn w:val="21"/>
    <w:qFormat/>
    <w:uiPriority w:val="0"/>
    <w:pPr>
      <w:pBdr>
        <w:bottom w:val="thinThickSmallGap" w:color="auto" w:sz="18" w:space="1"/>
      </w:pBdr>
      <w:adjustRightInd w:val="0"/>
      <w:snapToGrid/>
      <w:spacing w:line="240" w:lineRule="atLeast"/>
      <w:jc w:val="center"/>
      <w:textAlignment w:val="baseline"/>
    </w:pPr>
    <w:rPr>
      <w:rFonts w:ascii="@仿宋_GB2312" w:hAnsi="@仿宋_GB2312" w:eastAsia="@仿宋_GB2312" w:cs="@仿宋_GB2312"/>
      <w:kern w:val="0"/>
      <w:sz w:val="24"/>
    </w:rPr>
  </w:style>
  <w:style w:type="paragraph" w:customStyle="1" w:styleId="65">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66">
    <w:name w:val="Table Paragraph"/>
    <w:basedOn w:val="1"/>
    <w:qFormat/>
    <w:uiPriority w:val="1"/>
  </w:style>
  <w:style w:type="paragraph" w:customStyle="1" w:styleId="6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8">
    <w:name w:val="Char"/>
    <w:basedOn w:val="1"/>
    <w:qFormat/>
    <w:uiPriority w:val="0"/>
    <w:rPr>
      <w:rFonts w:ascii="Tahoma" w:hAnsi="Tahoma"/>
      <w:sz w:val="24"/>
    </w:rPr>
  </w:style>
  <w:style w:type="character" w:customStyle="1" w:styleId="69">
    <w:name w:val="_Style 6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CE37C-49FC-47AA-A51F-C15150B885C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61</Pages>
  <Words>616</Words>
  <Characters>747</Characters>
  <Lines>1227</Lines>
  <Paragraphs>1284</Paragraphs>
  <TotalTime>10</TotalTime>
  <ScaleCrop>false</ScaleCrop>
  <LinksUpToDate>false</LinksUpToDate>
  <CharactersWithSpaces>806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2021-06-04T00:23:00Z</dcterms:created>
  <dc:creator>Lenovo</dc:creator>
  <cp:lastModifiedBy>一帆风顺</cp:lastModifiedBy>
  <cp:lastPrinted>2019-11-01T08:14:00Z</cp:lastPrinted>
  <dcterms:modified xsi:type="dcterms:W3CDTF">2025-11-04T02:19:04Z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F671A4F23B1144ACBF9C5912E317B813_13</vt:lpwstr>
  </property>
  <property fmtid="{D5CDD505-2E9C-101B-9397-08002B2CF9AE}" pid="4" name="KSOTemplateDocerSaveRecord">
    <vt:lpwstr>eyJoZGlkIjoiY2ZkYmI3ZWE4NDhkNGEwZGFkZDllNWJjMWQyYjdkZGUiLCJ1c2VySWQiOiI5MjU1NzIyNDgifQ==</vt:lpwstr>
  </property>
</Properties>
</file>